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Pr="00156B04" w:rsidRDefault="003D050C" w:rsidP="003D050C">
      <w:pPr>
        <w:ind w:firstLine="0"/>
        <w:jc w:val="righ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Приложение № 1 </w:t>
      </w:r>
    </w:p>
    <w:p w:rsidR="003D050C" w:rsidRPr="00156B04" w:rsidRDefault="003D050C" w:rsidP="003D050C">
      <w:pPr>
        <w:ind w:firstLine="0"/>
        <w:jc w:val="righ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  <w:t>к Постановлению Правительства  №1096</w:t>
      </w:r>
    </w:p>
    <w:p w:rsidR="003D050C" w:rsidRPr="00156B04" w:rsidRDefault="003D050C" w:rsidP="003D050C">
      <w:pPr>
        <w:ind w:firstLine="0"/>
        <w:jc w:val="righ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  <w:t>от  19 декабря 2017 г.</w:t>
      </w:r>
    </w:p>
    <w:p w:rsidR="003D050C" w:rsidRPr="00156B04" w:rsidRDefault="003D050C" w:rsidP="003D050C">
      <w:pPr>
        <w:ind w:firstLine="0"/>
        <w:jc w:val="left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jc w:val="right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jc w:val="center"/>
        <w:rPr>
          <w:b/>
          <w:sz w:val="24"/>
          <w:szCs w:val="24"/>
          <w:lang w:eastAsia="ru-RU"/>
        </w:rPr>
      </w:pPr>
      <w:r w:rsidRPr="00156B04">
        <w:rPr>
          <w:b/>
          <w:sz w:val="24"/>
          <w:szCs w:val="24"/>
          <w:lang w:eastAsia="ru-RU"/>
        </w:rPr>
        <w:t>ЕДИНЫЕ ТРЕБОВАНИЯ</w:t>
      </w:r>
    </w:p>
    <w:p w:rsidR="003D050C" w:rsidRPr="00156B04" w:rsidRDefault="003D050C" w:rsidP="003D050C">
      <w:pPr>
        <w:ind w:firstLine="0"/>
        <w:jc w:val="center"/>
        <w:rPr>
          <w:b/>
          <w:sz w:val="24"/>
          <w:szCs w:val="24"/>
          <w:lang w:eastAsia="ru-RU"/>
        </w:rPr>
      </w:pPr>
      <w:r w:rsidRPr="00156B04">
        <w:rPr>
          <w:b/>
          <w:sz w:val="24"/>
          <w:szCs w:val="24"/>
          <w:lang w:eastAsia="ru-RU"/>
        </w:rPr>
        <w:t>к разработке Общей программы надзора за рынком</w:t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Титульный лист будет содержать текст  «ОБЩАЯ ПРОГРАММА НАДЗОРА ЗА РЫНКОМ (год/годы внедрения)», написанный в две строки, шрифт  </w:t>
      </w:r>
      <w:proofErr w:type="spellStart"/>
      <w:r w:rsidRPr="00156B04">
        <w:rPr>
          <w:sz w:val="24"/>
          <w:szCs w:val="24"/>
          <w:lang w:eastAsia="ru-RU"/>
        </w:rPr>
        <w:t>Times</w:t>
      </w:r>
      <w:proofErr w:type="spellEnd"/>
      <w:r w:rsidRPr="00156B04">
        <w:rPr>
          <w:sz w:val="24"/>
          <w:szCs w:val="24"/>
          <w:lang w:eastAsia="ru-RU"/>
        </w:rPr>
        <w:t xml:space="preserve"> </w:t>
      </w:r>
      <w:proofErr w:type="spellStart"/>
      <w:r w:rsidRPr="00156B04">
        <w:rPr>
          <w:sz w:val="24"/>
          <w:szCs w:val="24"/>
          <w:lang w:eastAsia="ru-RU"/>
        </w:rPr>
        <w:t>New</w:t>
      </w:r>
      <w:proofErr w:type="spellEnd"/>
      <w:r w:rsidRPr="00156B04">
        <w:rPr>
          <w:sz w:val="24"/>
          <w:szCs w:val="24"/>
          <w:lang w:eastAsia="ru-RU"/>
        </w:rPr>
        <w:t xml:space="preserve"> </w:t>
      </w:r>
      <w:proofErr w:type="spellStart"/>
      <w:r w:rsidRPr="00156B04">
        <w:rPr>
          <w:sz w:val="24"/>
          <w:szCs w:val="24"/>
          <w:lang w:eastAsia="ru-RU"/>
        </w:rPr>
        <w:t>Roman</w:t>
      </w:r>
      <w:proofErr w:type="spellEnd"/>
      <w:r w:rsidRPr="00156B04">
        <w:rPr>
          <w:sz w:val="24"/>
          <w:szCs w:val="24"/>
          <w:lang w:eastAsia="ru-RU"/>
        </w:rPr>
        <w:t xml:space="preserve">, жирный, курсив, размер шрифта 20. </w:t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 На второй странице будет  представлено  содержание с указанием номера страницы:</w:t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</w:t>
      </w:r>
      <w:r w:rsidRPr="00156B04">
        <w:rPr>
          <w:sz w:val="24"/>
          <w:szCs w:val="24"/>
          <w:lang w:eastAsia="ru-RU"/>
        </w:rPr>
        <w:tab/>
        <w:t>ОРГАНИЗАЦИЯ И ОБЩАЯ ИНФРАСТРУКТУРА НАДЗОРА ЗА РЫНКОМ</w:t>
      </w:r>
      <w:r w:rsidRPr="00156B04">
        <w:rPr>
          <w:sz w:val="24"/>
          <w:szCs w:val="24"/>
          <w:lang w:eastAsia="ru-RU"/>
        </w:rPr>
        <w:tab/>
        <w:t xml:space="preserve"> </w:t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1.1.</w:t>
      </w:r>
      <w:r w:rsidRPr="00156B04">
        <w:rPr>
          <w:sz w:val="24"/>
          <w:szCs w:val="24"/>
          <w:lang w:eastAsia="ru-RU"/>
        </w:rPr>
        <w:tab/>
        <w:t xml:space="preserve">Идентификация и ответственность органов надзора за рынком  </w:t>
      </w:r>
      <w:r w:rsidRPr="00156B04">
        <w:rPr>
          <w:sz w:val="24"/>
          <w:szCs w:val="24"/>
          <w:lang w:eastAsia="ru-RU"/>
        </w:rPr>
        <w:tab/>
        <w:t xml:space="preserve"> </w:t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1.2.</w:t>
      </w:r>
      <w:r w:rsidRPr="00156B04">
        <w:rPr>
          <w:sz w:val="24"/>
          <w:szCs w:val="24"/>
          <w:lang w:eastAsia="ru-RU"/>
        </w:rPr>
        <w:tab/>
        <w:t>Механизмы сотрудничества и координации между органами надзора за рынком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1.3.</w:t>
      </w:r>
      <w:r w:rsidRPr="00156B04">
        <w:rPr>
          <w:sz w:val="24"/>
          <w:szCs w:val="24"/>
          <w:lang w:eastAsia="ru-RU"/>
        </w:rPr>
        <w:tab/>
        <w:t>Сотрудничество между органами надзора за рынком и таможенным орган</w:t>
      </w:r>
      <w:r w:rsidRPr="00156B04">
        <w:rPr>
          <w:sz w:val="24"/>
          <w:szCs w:val="24"/>
          <w:lang w:eastAsia="ru-RU"/>
        </w:rPr>
        <w:tab/>
        <w:t>ом</w:t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1.4.</w:t>
      </w:r>
      <w:r w:rsidRPr="00156B04">
        <w:rPr>
          <w:sz w:val="24"/>
          <w:szCs w:val="24"/>
          <w:lang w:eastAsia="ru-RU"/>
        </w:rPr>
        <w:tab/>
        <w:t>Система быстрого обмена информацией об опасных продуктах</w:t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</w:t>
      </w:r>
      <w:r w:rsidRPr="00156B04">
        <w:rPr>
          <w:sz w:val="24"/>
          <w:szCs w:val="24"/>
          <w:lang w:eastAsia="ru-RU"/>
        </w:rPr>
        <w:tab/>
        <w:t>Национальная информационно-коммуникационная система надзора за рынком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1.6.</w:t>
      </w:r>
      <w:r w:rsidRPr="00156B04">
        <w:rPr>
          <w:sz w:val="24"/>
          <w:szCs w:val="24"/>
          <w:lang w:eastAsia="ru-RU"/>
        </w:rPr>
        <w:tab/>
        <w:t>Общее описание деятельности по надзору за рынком и соответствующих процедур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1.7.</w:t>
      </w:r>
      <w:r w:rsidRPr="00156B04">
        <w:rPr>
          <w:sz w:val="24"/>
          <w:szCs w:val="24"/>
          <w:lang w:eastAsia="ru-RU"/>
        </w:rPr>
        <w:tab/>
        <w:t>Общие рамки сотрудничества с другими государствами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1.8.</w:t>
      </w:r>
      <w:r w:rsidRPr="00156B04">
        <w:rPr>
          <w:sz w:val="24"/>
          <w:szCs w:val="24"/>
          <w:lang w:eastAsia="ru-RU"/>
        </w:rPr>
        <w:tab/>
        <w:t>Оценка действий по  надзору за рынком и соответствующей отчетности</w:t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1.9.</w:t>
      </w:r>
      <w:r w:rsidRPr="00156B04">
        <w:rPr>
          <w:sz w:val="24"/>
          <w:szCs w:val="24"/>
          <w:lang w:eastAsia="ru-RU"/>
        </w:rPr>
        <w:tab/>
        <w:t>Горизонтальные мероприятия, запланированные на соответствующий период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</w:t>
      </w:r>
      <w:r w:rsidRPr="00156B04">
        <w:rPr>
          <w:sz w:val="24"/>
          <w:szCs w:val="24"/>
          <w:lang w:eastAsia="ru-RU"/>
        </w:rPr>
        <w:tab/>
        <w:t>НАДЗОР ЗА РЫНКОМ В КОНКРЕТНЫХ СЕКТОРАХ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2.1.</w:t>
      </w:r>
      <w:r w:rsidRPr="00156B04">
        <w:rPr>
          <w:sz w:val="24"/>
          <w:szCs w:val="24"/>
          <w:lang w:eastAsia="ru-RU"/>
        </w:rPr>
        <w:tab/>
      </w:r>
      <w:proofErr w:type="gramStart"/>
      <w:r w:rsidRPr="00156B04">
        <w:rPr>
          <w:sz w:val="24"/>
          <w:szCs w:val="24"/>
          <w:lang w:eastAsia="ru-RU"/>
        </w:rPr>
        <w:t>Сектор (название из приложения, например:</w:t>
      </w:r>
      <w:proofErr w:type="gramEnd"/>
      <w:r w:rsidRPr="00156B04">
        <w:rPr>
          <w:sz w:val="24"/>
          <w:szCs w:val="24"/>
          <w:lang w:eastAsia="ru-RU"/>
        </w:rPr>
        <w:t xml:space="preserve"> </w:t>
      </w:r>
      <w:proofErr w:type="gramStart"/>
      <w:r w:rsidRPr="00156B04">
        <w:rPr>
          <w:sz w:val="24"/>
          <w:szCs w:val="24"/>
          <w:lang w:eastAsia="ru-RU"/>
        </w:rPr>
        <w:t>Игрушки)</w:t>
      </w:r>
      <w:r w:rsidRPr="00156B04">
        <w:rPr>
          <w:sz w:val="24"/>
          <w:szCs w:val="24"/>
          <w:lang w:eastAsia="ru-RU"/>
        </w:rPr>
        <w:tab/>
      </w:r>
      <w:proofErr w:type="gramEnd"/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2.1.1.</w:t>
      </w:r>
      <w:r w:rsidRPr="00156B04">
        <w:rPr>
          <w:sz w:val="24"/>
          <w:szCs w:val="24"/>
          <w:lang w:eastAsia="ru-RU"/>
        </w:rPr>
        <w:tab/>
        <w:t>Ответственный орган и контактные данные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2.1.2.</w:t>
      </w:r>
      <w:r w:rsidRPr="00156B04">
        <w:rPr>
          <w:sz w:val="24"/>
          <w:szCs w:val="24"/>
          <w:lang w:eastAsia="ru-RU"/>
        </w:rPr>
        <w:tab/>
        <w:t>Стратегия и процедуры надзора за рынком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2.1.3.</w:t>
      </w:r>
      <w:r w:rsidRPr="00156B04">
        <w:rPr>
          <w:sz w:val="24"/>
          <w:szCs w:val="24"/>
          <w:lang w:eastAsia="ru-RU"/>
        </w:rPr>
        <w:tab/>
        <w:t>Отчет о мероприятиях, проведенных в течение предыдущего периода реализации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2.2.</w:t>
      </w:r>
      <w:r w:rsidRPr="00156B04">
        <w:rPr>
          <w:sz w:val="24"/>
          <w:szCs w:val="24"/>
          <w:lang w:eastAsia="ru-RU"/>
        </w:rPr>
        <w:tab/>
      </w:r>
      <w:proofErr w:type="gramStart"/>
      <w:r w:rsidRPr="00156B04">
        <w:rPr>
          <w:sz w:val="24"/>
          <w:szCs w:val="24"/>
          <w:lang w:eastAsia="ru-RU"/>
        </w:rPr>
        <w:t>Сектор (например:</w:t>
      </w:r>
      <w:proofErr w:type="gramEnd"/>
      <w:r w:rsidRPr="00156B04">
        <w:rPr>
          <w:sz w:val="24"/>
          <w:szCs w:val="24"/>
          <w:lang w:eastAsia="ru-RU"/>
        </w:rPr>
        <w:t xml:space="preserve"> </w:t>
      </w:r>
      <w:proofErr w:type="gramStart"/>
      <w:r w:rsidRPr="00156B04">
        <w:rPr>
          <w:sz w:val="24"/>
          <w:szCs w:val="24"/>
          <w:lang w:eastAsia="ru-RU"/>
        </w:rPr>
        <w:t>Косметическая продукция)</w:t>
      </w:r>
      <w:r w:rsidRPr="00156B04">
        <w:rPr>
          <w:sz w:val="24"/>
          <w:szCs w:val="24"/>
          <w:lang w:eastAsia="ru-RU"/>
        </w:rPr>
        <w:tab/>
      </w:r>
      <w:proofErr w:type="gramEnd"/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Приложение к Общей программе надзора за рынком</w:t>
      </w:r>
      <w:r w:rsidRPr="00156B04">
        <w:rPr>
          <w:sz w:val="24"/>
          <w:szCs w:val="24"/>
          <w:lang w:eastAsia="ru-RU"/>
        </w:rPr>
        <w:tab/>
      </w:r>
    </w:p>
    <w:p w:rsidR="003D050C" w:rsidRPr="00156B04" w:rsidRDefault="003D050C" w:rsidP="003D050C">
      <w:pPr>
        <w:ind w:firstLine="0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jc w:val="left"/>
        <w:rPr>
          <w:sz w:val="24"/>
          <w:szCs w:val="24"/>
          <w:lang w:eastAsia="ru-RU"/>
        </w:rPr>
      </w:pPr>
      <w:proofErr w:type="gramStart"/>
      <w:r w:rsidRPr="00156B04">
        <w:rPr>
          <w:sz w:val="24"/>
          <w:szCs w:val="24"/>
          <w:lang w:eastAsia="ru-RU"/>
        </w:rPr>
        <w:t>(</w:t>
      </w:r>
      <w:r w:rsidRPr="00156B04">
        <w:rPr>
          <w:i/>
          <w:snapToGrid w:val="0"/>
          <w:sz w:val="24"/>
          <w:szCs w:val="24"/>
          <w:lang w:eastAsia="ru-RU"/>
        </w:rPr>
        <w:t>Примечание.</w:t>
      </w:r>
      <w:proofErr w:type="gramEnd"/>
      <w:r w:rsidRPr="00156B04">
        <w:rPr>
          <w:i/>
          <w:snapToGrid w:val="0"/>
          <w:sz w:val="24"/>
          <w:szCs w:val="24"/>
          <w:lang w:eastAsia="ru-RU"/>
        </w:rPr>
        <w:t xml:space="preserve"> </w:t>
      </w:r>
      <w:proofErr w:type="gramStart"/>
      <w:r w:rsidRPr="00156B04">
        <w:rPr>
          <w:i/>
          <w:snapToGrid w:val="0"/>
          <w:sz w:val="24"/>
          <w:szCs w:val="24"/>
          <w:lang w:eastAsia="ru-RU"/>
        </w:rPr>
        <w:t>Разъяснения по содержанию каждого раздела удаляются при заполнении программы.)</w:t>
      </w:r>
      <w:proofErr w:type="gramEnd"/>
    </w:p>
    <w:p w:rsidR="003D050C" w:rsidRPr="00156B04" w:rsidRDefault="003D050C" w:rsidP="003D050C">
      <w:pPr>
        <w:ind w:firstLine="0"/>
        <w:jc w:val="center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jc w:val="center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jc w:val="center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jc w:val="center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Следующие страницы:</w:t>
      </w:r>
      <w:bookmarkStart w:id="0" w:name="_Toc396310132"/>
      <w:bookmarkStart w:id="1" w:name="_Toc392679016"/>
    </w:p>
    <w:p w:rsidR="003D050C" w:rsidRPr="00156B04" w:rsidRDefault="003D050C" w:rsidP="003D050C">
      <w:pPr>
        <w:ind w:firstLine="0"/>
        <w:jc w:val="left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ind w:firstLine="0"/>
        <w:jc w:val="left"/>
        <w:rPr>
          <w:sz w:val="24"/>
          <w:szCs w:val="24"/>
          <w:lang w:eastAsia="ru-RU"/>
        </w:rPr>
      </w:pPr>
      <w:r w:rsidRPr="00156B04">
        <w:rPr>
          <w:b/>
          <w:sz w:val="24"/>
          <w:szCs w:val="24"/>
          <w:lang w:eastAsia="ru-RU"/>
        </w:rPr>
        <w:t>1.</w:t>
      </w:r>
      <w:r w:rsidRPr="00156B04">
        <w:rPr>
          <w:sz w:val="24"/>
          <w:szCs w:val="24"/>
          <w:lang w:eastAsia="ru-RU"/>
        </w:rPr>
        <w:t xml:space="preserve"> </w:t>
      </w:r>
      <w:r w:rsidRPr="00156B04">
        <w:rPr>
          <w:b/>
          <w:sz w:val="24"/>
          <w:szCs w:val="24"/>
          <w:lang w:eastAsia="ro-RO" w:bidi="ro-RO"/>
        </w:rPr>
        <w:t xml:space="preserve">ОРГАНИЗАЦИЯ И ОБЩАЯ ИНФРАСТРУКТУРА НАДЗОРА ЗА РЫНКОМ </w:t>
      </w:r>
      <w:bookmarkEnd w:id="0"/>
      <w:bookmarkEnd w:id="1"/>
    </w:p>
    <w:p w:rsidR="003D050C" w:rsidRPr="00156B04" w:rsidRDefault="003D050C" w:rsidP="003D050C">
      <w:pPr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В первой части Общей программы надзора за рынком четко описываются организация и управление надзором за рынком в период внедрения.</w:t>
      </w:r>
    </w:p>
    <w:p w:rsidR="003D050C" w:rsidRPr="00156B04" w:rsidRDefault="003D050C" w:rsidP="003D050C">
      <w:pPr>
        <w:ind w:firstLine="567"/>
        <w:jc w:val="left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num" w:pos="1276"/>
        </w:tabs>
        <w:spacing w:after="240"/>
        <w:ind w:left="1134" w:hanging="567"/>
        <w:outlineLvl w:val="1"/>
        <w:rPr>
          <w:b/>
          <w:sz w:val="24"/>
          <w:szCs w:val="24"/>
          <w:lang w:eastAsia="ro-RO" w:bidi="ro-RO"/>
        </w:rPr>
      </w:pPr>
      <w:r w:rsidRPr="00156B04">
        <w:rPr>
          <w:b/>
          <w:sz w:val="24"/>
          <w:szCs w:val="24"/>
          <w:lang w:eastAsia="ro-RO" w:bidi="ro-RO"/>
        </w:rPr>
        <w:t xml:space="preserve">1.1. Идентификация и ответственность органов надзора за рынком </w:t>
      </w:r>
    </w:p>
    <w:p w:rsidR="003D050C" w:rsidRPr="00156B04" w:rsidRDefault="003D050C" w:rsidP="003D050C">
      <w:pPr>
        <w:tabs>
          <w:tab w:val="left" w:pos="426"/>
          <w:tab w:val="left" w:pos="709"/>
          <w:tab w:val="left" w:pos="851"/>
        </w:tabs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1.1.1.</w:t>
      </w:r>
      <w:r w:rsidRPr="00156B04">
        <w:rPr>
          <w:i/>
          <w:sz w:val="24"/>
          <w:szCs w:val="24"/>
          <w:lang w:eastAsia="ru-RU"/>
        </w:rPr>
        <w:t xml:space="preserve"> </w:t>
      </w:r>
      <w:r w:rsidRPr="00156B04">
        <w:rPr>
          <w:sz w:val="24"/>
          <w:szCs w:val="24"/>
          <w:lang w:eastAsia="ru-RU"/>
        </w:rPr>
        <w:t>Этот раздел должен содержать следующую информацию:</w:t>
      </w:r>
    </w:p>
    <w:p w:rsidR="003D050C" w:rsidRPr="00156B04" w:rsidRDefault="003D050C" w:rsidP="003D050C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0" w:firstLine="567"/>
        <w:contextualSpacing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общие характеристики организации органов надзора за рынком (например, на региональном/местном уровне, централизованная или децентрализованная структура, конкретная или горизонтальная секторальная ответственность);</w:t>
      </w:r>
    </w:p>
    <w:p w:rsidR="003D050C" w:rsidRPr="00156B04" w:rsidRDefault="003D050C" w:rsidP="003D050C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0"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идентификация релевантных органов по надзору за рынком и областей ответственности. Во избежание дублирования:</w:t>
      </w:r>
    </w:p>
    <w:p w:rsidR="003D050C" w:rsidRPr="00156B04" w:rsidRDefault="003D050C" w:rsidP="003D050C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контактные данные (почтовый адрес и электронная почта, контактные лица и их контактные данные) могут быть представлены только в разделах, посвященных отраслевой  деятельности (см. раздел 2.1.1 и аналогичные  разделы 2.2.1, 2.3.1 и т. д.).</w:t>
      </w:r>
    </w:p>
    <w:p w:rsidR="003D050C" w:rsidRPr="00156B04" w:rsidRDefault="003D050C" w:rsidP="003D050C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firstLine="567"/>
        <w:rPr>
          <w:sz w:val="24"/>
          <w:szCs w:val="24"/>
          <w:lang w:eastAsia="ru-RU"/>
        </w:rPr>
      </w:pPr>
      <w:proofErr w:type="gramStart"/>
      <w:r w:rsidRPr="00156B04">
        <w:rPr>
          <w:sz w:val="24"/>
          <w:szCs w:val="24"/>
          <w:lang w:eastAsia="ru-RU"/>
        </w:rPr>
        <w:t>в</w:t>
      </w:r>
      <w:proofErr w:type="gramEnd"/>
      <w:r w:rsidRPr="00156B04">
        <w:rPr>
          <w:sz w:val="24"/>
          <w:szCs w:val="24"/>
          <w:lang w:eastAsia="ru-RU"/>
        </w:rPr>
        <w:t xml:space="preserve"> данном разделе также могут быть ссылки и на список органов, уже имеющийся на веб-сайте национального контактного пункта, при условии, что информация об органах по надзору за рынком и их контактная информация обновлены (пример надлежащих  практик: координирующий орган включает диаграмму, иллюстрирующую разделение обязанностей на уровне властей);</w:t>
      </w:r>
    </w:p>
    <w:p w:rsidR="003D050C" w:rsidRPr="00156B04" w:rsidRDefault="003D050C" w:rsidP="003D050C">
      <w:pPr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418"/>
        </w:tabs>
        <w:spacing w:after="240"/>
        <w:ind w:left="0"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указание о  глобальных ресурсах, находящихся в распоряжении органов по надзору за рынком, таких как бюджет, персонал (выраженный в единицах эквивалента полной занятости), а также  и технические средства (например, собственные лаборатории).</w:t>
      </w:r>
    </w:p>
    <w:p w:rsidR="003D050C" w:rsidRPr="00156B04" w:rsidRDefault="003D050C" w:rsidP="003D050C">
      <w:pPr>
        <w:ind w:firstLine="0"/>
        <w:jc w:val="left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num" w:pos="851"/>
        </w:tabs>
        <w:spacing w:after="240"/>
        <w:ind w:firstLine="709"/>
        <w:jc w:val="left"/>
        <w:outlineLvl w:val="1"/>
        <w:rPr>
          <w:b/>
          <w:sz w:val="24"/>
          <w:szCs w:val="24"/>
          <w:lang w:eastAsia="ro-RO" w:bidi="ro-RO"/>
        </w:rPr>
      </w:pPr>
      <w:bookmarkStart w:id="2" w:name="_Toc396310134"/>
      <w:bookmarkStart w:id="3" w:name="_Toc392679018"/>
      <w:r w:rsidRPr="00156B04">
        <w:rPr>
          <w:b/>
          <w:sz w:val="24"/>
          <w:szCs w:val="24"/>
          <w:lang w:eastAsia="ro-RO" w:bidi="ro-RO"/>
        </w:rPr>
        <w:t xml:space="preserve">1.2. Механизмы сотрудничества и координации между органами надзора за рынком </w:t>
      </w:r>
      <w:bookmarkEnd w:id="2"/>
      <w:bookmarkEnd w:id="3"/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1.2.1. В данном разделе   разъясняется порядок  обеспечения координации между органами по надзору за рынком. Например:</w:t>
      </w:r>
    </w:p>
    <w:p w:rsidR="003D050C" w:rsidRPr="00156B04" w:rsidRDefault="003D050C" w:rsidP="003D050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существует или не существует постоянный либо специальный координационный орган между органами надзора за рынком и/или комитет (комитеты) по координированию совместно проводимых действий и  консультированию между органами по надзору за рынком;</w:t>
      </w:r>
    </w:p>
    <w:p w:rsidR="003D050C" w:rsidRPr="00156B04" w:rsidRDefault="003D050C" w:rsidP="003D050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состав (члены) координационного органа или комитета (комитетов);</w:t>
      </w:r>
    </w:p>
    <w:p w:rsidR="003D050C" w:rsidRPr="00156B04" w:rsidRDefault="003D050C" w:rsidP="003D050C">
      <w:pPr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механизм принятия решений (консенсус, процедура голосования) и методы работы; </w:t>
      </w:r>
    </w:p>
    <w:p w:rsidR="003D050C" w:rsidRPr="00156B04" w:rsidRDefault="003D050C" w:rsidP="003D050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основные обязанности и задачи (возможно,  и условия);</w:t>
      </w:r>
    </w:p>
    <w:p w:rsidR="003D050C" w:rsidRPr="00156B04" w:rsidRDefault="003D050C" w:rsidP="003D050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частота встреч.</w:t>
      </w: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Примеры наилучших практик: координирующий орган объясняет задачи и оперативные цели, предоставляет условия Координационного совета по защите прав потребителей и надзору за рынком.</w:t>
      </w: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1.2.2. В этом разделе также должен быть разъяснен порядок  обеспечения взаимодействия между органами по надзору за рынком и, например, указаны:</w:t>
      </w:r>
    </w:p>
    <w:p w:rsidR="003D050C" w:rsidRPr="00156B04" w:rsidRDefault="003D050C" w:rsidP="003D050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соглашения о сотрудничестве, заключенные между органами по надзору за рынком, включая условия сотрудничества;</w:t>
      </w:r>
    </w:p>
    <w:p w:rsidR="003D050C" w:rsidRPr="00156B04" w:rsidRDefault="003D050C" w:rsidP="003D050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форумы для улучшения сотрудничества и/или диалога;</w:t>
      </w:r>
    </w:p>
    <w:p w:rsidR="003D050C" w:rsidRPr="00156B04" w:rsidRDefault="003D050C" w:rsidP="003D050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существующая процедура обмена информацией;</w:t>
      </w:r>
    </w:p>
    <w:p w:rsidR="003D050C" w:rsidRPr="00156B04" w:rsidRDefault="003D050C" w:rsidP="003D050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общая практика совместных действий в отношении конкретных категорий продуктов.</w:t>
      </w: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lastRenderedPageBreak/>
        <w:t>1.2.3. Во избежание дублирования, желательно, чтобы   конкретные отраслевые формы сотрудничества были указаны в разделе 2.1.2 (и в               аналогичных разделах 2.2.2, 2.3.2 и т. д.).</w:t>
      </w:r>
    </w:p>
    <w:p w:rsidR="003D050C" w:rsidRPr="00156B04" w:rsidRDefault="003D050C" w:rsidP="003D050C">
      <w:pPr>
        <w:ind w:firstLine="0"/>
        <w:jc w:val="left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num" w:pos="1134"/>
        </w:tabs>
        <w:spacing w:after="240"/>
        <w:ind w:left="142" w:firstLine="425"/>
        <w:outlineLvl w:val="1"/>
        <w:rPr>
          <w:b/>
          <w:sz w:val="24"/>
          <w:szCs w:val="24"/>
          <w:lang w:eastAsia="ro-RO" w:bidi="ro-RO"/>
        </w:rPr>
      </w:pPr>
      <w:bookmarkStart w:id="4" w:name="_Toc396310135"/>
      <w:bookmarkStart w:id="5" w:name="_Toc392679019"/>
      <w:r w:rsidRPr="00156B04">
        <w:rPr>
          <w:b/>
          <w:sz w:val="24"/>
          <w:szCs w:val="24"/>
          <w:lang w:eastAsia="ro-RO" w:bidi="ro-RO"/>
        </w:rPr>
        <w:t xml:space="preserve">1.3. Сотрудничество между органами по надзору за рынком и таможенным органом </w:t>
      </w:r>
      <w:bookmarkEnd w:id="4"/>
      <w:bookmarkEnd w:id="5"/>
    </w:p>
    <w:p w:rsidR="003D050C" w:rsidRPr="00156B04" w:rsidRDefault="003D050C" w:rsidP="003D050C">
      <w:pPr>
        <w:keepNext/>
        <w:spacing w:after="240"/>
        <w:ind w:left="1430" w:hanging="720"/>
        <w:outlineLvl w:val="1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1.3.1. Этот раздел должен содержать следующую информацию:</w:t>
      </w:r>
    </w:p>
    <w:p w:rsidR="003D050C" w:rsidRPr="00156B04" w:rsidRDefault="003D050C" w:rsidP="003D050C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 тип  сотрудничества (например, передача информации на</w:t>
      </w:r>
      <w:r w:rsidRPr="00156B04">
        <w:rPr>
          <w:sz w:val="24"/>
          <w:szCs w:val="24"/>
        </w:rPr>
        <w:t xml:space="preserve"> </w:t>
      </w:r>
      <w:r w:rsidRPr="00156B04">
        <w:rPr>
          <w:sz w:val="24"/>
          <w:szCs w:val="24"/>
          <w:lang w:eastAsia="ru-RU"/>
        </w:rPr>
        <w:t>общую электронную базу данных, регулярный диалог, совместные действия и       т. д.);</w:t>
      </w:r>
    </w:p>
    <w:p w:rsidR="003D050C" w:rsidRPr="00156B04" w:rsidRDefault="003D050C" w:rsidP="003D050C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механизмы сотрудничества (например, рабочие группы, постоянный орган, двусторонние соглашения).</w:t>
      </w:r>
    </w:p>
    <w:p w:rsidR="003D050C" w:rsidRPr="00156B04" w:rsidRDefault="003D050C" w:rsidP="003D050C">
      <w:pPr>
        <w:tabs>
          <w:tab w:val="left" w:pos="993"/>
        </w:tabs>
        <w:ind w:left="709" w:firstLine="0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1.3.2. Во избежание дублирования, конкретные разделы отраслевого сотрудничества должны были указаны в разделе 2.1.2 (и в аналогичных разделах 2.2.2, 2.3.2 и т. д.).</w:t>
      </w: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Примеры: орган подчеркивает свои новые правила безопасности продукции. Другой орган ссылается на постоянную рабочую группу, которая заседает  два раза в год. Другой орган объясняет сотрудничество посредством двусторонних соглашений.</w:t>
      </w:r>
    </w:p>
    <w:p w:rsidR="003D050C" w:rsidRPr="00156B04" w:rsidRDefault="003D050C" w:rsidP="003D050C">
      <w:pPr>
        <w:ind w:firstLine="0"/>
        <w:jc w:val="left"/>
        <w:rPr>
          <w:i/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num" w:pos="0"/>
        </w:tabs>
        <w:spacing w:after="240"/>
        <w:ind w:firstLine="709"/>
        <w:outlineLvl w:val="1"/>
        <w:rPr>
          <w:b/>
          <w:sz w:val="24"/>
          <w:szCs w:val="24"/>
          <w:lang w:eastAsia="ro-RO" w:bidi="ro-RO"/>
        </w:rPr>
      </w:pPr>
      <w:bookmarkStart w:id="6" w:name="_Toc396310136"/>
      <w:bookmarkStart w:id="7" w:name="_Toc392679020"/>
      <w:r w:rsidRPr="00156B04">
        <w:rPr>
          <w:b/>
          <w:sz w:val="24"/>
          <w:szCs w:val="24"/>
          <w:lang w:eastAsia="ro-RO" w:bidi="ro-RO"/>
        </w:rPr>
        <w:t xml:space="preserve">1.4. Система быстрого обмена информацией об опасной продукции </w:t>
      </w:r>
      <w:bookmarkEnd w:id="6"/>
      <w:bookmarkEnd w:id="7"/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1.4.1. Этот раздел должен содержать следующую  информацию:</w:t>
      </w:r>
    </w:p>
    <w:p w:rsidR="003D050C" w:rsidRPr="00156B04" w:rsidRDefault="003D050C" w:rsidP="003D050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proofErr w:type="gramStart"/>
      <w:r w:rsidRPr="00156B04">
        <w:rPr>
          <w:sz w:val="24"/>
          <w:szCs w:val="24"/>
          <w:lang w:eastAsia="ru-RU"/>
        </w:rPr>
        <w:t>сфера применения системы быстрого обмена информацией об опасных продуктах в течение периода реализации  (например, категории продуктов, для которых органы по надзору за рынком генерируют уведомления и действуют в результате полученных уведомлений, средства распространения соответствующей информации);</w:t>
      </w:r>
      <w:proofErr w:type="gramEnd"/>
    </w:p>
    <w:p w:rsidR="003D050C" w:rsidRPr="00156B04" w:rsidRDefault="003D050C" w:rsidP="003D050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контактные пункты и ответственные органы системы быстрого обмена информацией об опасных продуктах, а также средства распространения соответствующей информации.</w:t>
      </w: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Примеры надлежащей практики: орган по надзору за рынком предоставляет диаграмму, показывающую порядок, в котором информация, полученная через систему быстрого обмена информацией об опасных продуктах, распространяется между органами по надзору за рынком, и их соответствующие действия.</w:t>
      </w:r>
    </w:p>
    <w:p w:rsidR="003D050C" w:rsidRPr="00156B04" w:rsidRDefault="003D050C" w:rsidP="003D050C">
      <w:pPr>
        <w:ind w:firstLine="0"/>
        <w:jc w:val="left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left" w:pos="567"/>
          <w:tab w:val="left" w:pos="1134"/>
          <w:tab w:val="num" w:pos="1276"/>
        </w:tabs>
        <w:spacing w:after="240"/>
        <w:ind w:firstLine="567"/>
        <w:outlineLvl w:val="1"/>
        <w:rPr>
          <w:b/>
          <w:sz w:val="24"/>
          <w:szCs w:val="24"/>
          <w:lang w:eastAsia="ro-RO" w:bidi="ro-RO"/>
        </w:rPr>
      </w:pPr>
      <w:bookmarkStart w:id="8" w:name="_Toc396310137"/>
      <w:bookmarkStart w:id="9" w:name="_Toc392679021"/>
      <w:r w:rsidRPr="00156B04">
        <w:rPr>
          <w:b/>
          <w:sz w:val="24"/>
          <w:szCs w:val="24"/>
          <w:lang w:eastAsia="ro-RO" w:bidi="ro-RO"/>
        </w:rPr>
        <w:t xml:space="preserve">1.5. Национальная информационно-коммуникационная система надзора за рынком </w:t>
      </w:r>
    </w:p>
    <w:bookmarkEnd w:id="8"/>
    <w:bookmarkEnd w:id="9"/>
    <w:p w:rsidR="003D050C" w:rsidRPr="00156B04" w:rsidRDefault="003D050C" w:rsidP="003D050C">
      <w:pPr>
        <w:tabs>
          <w:tab w:val="num" w:pos="567"/>
        </w:tabs>
        <w:ind w:left="12" w:firstLine="555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1.5.1. Этот раздел должен содержать следующую информацию:</w:t>
      </w:r>
    </w:p>
    <w:p w:rsidR="003D050C" w:rsidRPr="00156B04" w:rsidRDefault="003D050C" w:rsidP="003D050C">
      <w:pPr>
        <w:numPr>
          <w:ilvl w:val="0"/>
          <w:numId w:val="7"/>
        </w:numPr>
        <w:tabs>
          <w:tab w:val="left" w:pos="851"/>
        </w:tabs>
        <w:ind w:left="12"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сфера применения национальной информационно-коммуникационной системы надзора за рынком в течение периода внедрения (например, категории продуктов, для которых органы по надзору за рынком уже используют национальную информационно-коммуникационную систему надзора за рынком);</w:t>
      </w:r>
    </w:p>
    <w:p w:rsidR="003D050C" w:rsidRPr="00156B04" w:rsidRDefault="003D050C" w:rsidP="003D050C">
      <w:pPr>
        <w:numPr>
          <w:ilvl w:val="0"/>
          <w:numId w:val="7"/>
        </w:numPr>
        <w:tabs>
          <w:tab w:val="left" w:pos="851"/>
        </w:tabs>
        <w:ind w:left="12"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контактные пункты и органы, ответственные за национальную информационно-коммуникационную систему надзора за рынком.</w:t>
      </w:r>
    </w:p>
    <w:p w:rsidR="003D050C" w:rsidRPr="00156B04" w:rsidRDefault="003D050C" w:rsidP="003D050C">
      <w:pPr>
        <w:tabs>
          <w:tab w:val="num" w:pos="567"/>
        </w:tabs>
        <w:ind w:left="12" w:firstLine="555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Примеры надлежащих практик: орган объясняет, в течение какого времени он использует национальную информационно-коммуникационную систему надзора за рынком. Другой орган также сообщает о доступности публичного портала,  интегрированного в национальную информационно-коммуникационную систему </w:t>
      </w:r>
      <w:r w:rsidRPr="00156B04">
        <w:rPr>
          <w:sz w:val="24"/>
          <w:szCs w:val="24"/>
          <w:lang w:eastAsia="ru-RU"/>
        </w:rPr>
        <w:lastRenderedPageBreak/>
        <w:t>надзора за рынком, и о порядке предоставления  потребителям возможности  обращаться непосредственно в органы по надзору за рынком через национальную информационно-коммуникационную систему надзора за рынком.</w:t>
      </w:r>
    </w:p>
    <w:p w:rsidR="003D050C" w:rsidRPr="00156B04" w:rsidRDefault="003D050C" w:rsidP="003D050C">
      <w:pPr>
        <w:tabs>
          <w:tab w:val="num" w:pos="567"/>
        </w:tabs>
        <w:ind w:left="12" w:firstLine="555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num" w:pos="567"/>
          <w:tab w:val="left" w:pos="851"/>
          <w:tab w:val="left" w:pos="993"/>
        </w:tabs>
        <w:spacing w:after="240"/>
        <w:ind w:firstLine="567"/>
        <w:outlineLvl w:val="1"/>
        <w:rPr>
          <w:b/>
          <w:sz w:val="24"/>
          <w:szCs w:val="24"/>
          <w:lang w:eastAsia="ro-RO" w:bidi="ro-RO"/>
        </w:rPr>
      </w:pPr>
      <w:bookmarkStart w:id="10" w:name="_Toc396310138"/>
      <w:bookmarkStart w:id="11" w:name="_Toc392679022"/>
      <w:r w:rsidRPr="00156B04">
        <w:rPr>
          <w:b/>
          <w:sz w:val="24"/>
          <w:szCs w:val="24"/>
          <w:lang w:eastAsia="ro-RO" w:bidi="ro-RO"/>
        </w:rPr>
        <w:t>1.6. Общее описание деятельности по надзору за рынком и соответствующих процедур</w:t>
      </w:r>
      <w:bookmarkEnd w:id="10"/>
      <w:bookmarkEnd w:id="11"/>
    </w:p>
    <w:p w:rsidR="003D050C" w:rsidRPr="00156B04" w:rsidRDefault="003D050C" w:rsidP="003D050C">
      <w:pPr>
        <w:tabs>
          <w:tab w:val="num" w:pos="567"/>
        </w:tabs>
        <w:ind w:left="12" w:firstLine="69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1.6.1. Этот раздел должен содержать следующую информацию:</w:t>
      </w:r>
    </w:p>
    <w:p w:rsidR="003D050C" w:rsidRPr="00156B04" w:rsidRDefault="003D050C" w:rsidP="003D050C">
      <w:pPr>
        <w:numPr>
          <w:ilvl w:val="0"/>
          <w:numId w:val="8"/>
        </w:numPr>
        <w:tabs>
          <w:tab w:val="left" w:pos="851"/>
          <w:tab w:val="left" w:pos="993"/>
        </w:tabs>
        <w:ind w:left="12" w:firstLine="697"/>
        <w:rPr>
          <w:sz w:val="24"/>
          <w:szCs w:val="24"/>
          <w:lang w:eastAsia="ru-RU"/>
        </w:rPr>
      </w:pPr>
      <w:proofErr w:type="gramStart"/>
      <w:r w:rsidRPr="00156B04">
        <w:rPr>
          <w:sz w:val="24"/>
          <w:szCs w:val="24"/>
          <w:lang w:eastAsia="ru-RU"/>
        </w:rPr>
        <w:t>общий подход к надзору за рынком (например, контроль на основе оценки рисков, контроль на основе жалоб, направления/критерии/ показатели для идентификации   небезопасной или несоответствующей продукции и т. д.);</w:t>
      </w:r>
      <w:proofErr w:type="gramEnd"/>
    </w:p>
    <w:p w:rsidR="003D050C" w:rsidRPr="00156B04" w:rsidRDefault="003D050C" w:rsidP="003D050C">
      <w:pPr>
        <w:numPr>
          <w:ilvl w:val="0"/>
          <w:numId w:val="8"/>
        </w:numPr>
        <w:tabs>
          <w:tab w:val="left" w:pos="851"/>
          <w:tab w:val="left" w:pos="993"/>
        </w:tabs>
        <w:ind w:left="12" w:firstLine="69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общая  процедура, если таковая имеется, для принятия мер в связи с жалобами (методы подачи жалоб, процедура рассмотрения жалоб; регистр жалоб, если таковой имеется, и кто им управляет; механизмы, обеспечивающие принятие корректирующих мер);</w:t>
      </w:r>
    </w:p>
    <w:p w:rsidR="003D050C" w:rsidRPr="00156B04" w:rsidRDefault="003D050C" w:rsidP="003D050C">
      <w:pPr>
        <w:numPr>
          <w:ilvl w:val="0"/>
          <w:numId w:val="8"/>
        </w:numPr>
        <w:tabs>
          <w:tab w:val="left" w:pos="851"/>
          <w:tab w:val="left" w:pos="993"/>
        </w:tabs>
        <w:ind w:left="12" w:firstLine="69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общая процедура, если таковая имеется, мониторинга несчастных случаев (механизмы сбора информации о несчастных случаях и травмах; отраслевая сфера сбора такой информации, механизмы, обеспечивающие предоставление собранных данных соответствующим органам надзора за рынком);</w:t>
      </w:r>
    </w:p>
    <w:p w:rsidR="003D050C" w:rsidRPr="00156B04" w:rsidRDefault="003D050C" w:rsidP="003D050C">
      <w:pPr>
        <w:numPr>
          <w:ilvl w:val="0"/>
          <w:numId w:val="8"/>
        </w:numPr>
        <w:tabs>
          <w:tab w:val="left" w:pos="851"/>
          <w:tab w:val="left" w:pos="993"/>
        </w:tabs>
        <w:ind w:left="12" w:firstLine="69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общие меры/инструменты, если таковые имеются, по предупреждению пользователей об опасной продукции с целью уменьшения риска получения травмы и ущерба;</w:t>
      </w:r>
    </w:p>
    <w:p w:rsidR="003D050C" w:rsidRPr="00156B04" w:rsidRDefault="003D050C" w:rsidP="003D050C">
      <w:pPr>
        <w:numPr>
          <w:ilvl w:val="0"/>
          <w:numId w:val="8"/>
        </w:numPr>
        <w:tabs>
          <w:tab w:val="left" w:pos="851"/>
          <w:tab w:val="left" w:pos="993"/>
        </w:tabs>
        <w:ind w:left="12" w:firstLine="69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общий подход к санкциям (типы санкций: административные, денежные, уголовные, основные критерии для установления уровня санкций в случае несоблюдения; минимальный и максимальный штрафы в случае несоблюдения и т. д.), если таковые имеются;</w:t>
      </w:r>
    </w:p>
    <w:p w:rsidR="003D050C" w:rsidRPr="00156B04" w:rsidRDefault="003D050C" w:rsidP="003D050C">
      <w:pPr>
        <w:numPr>
          <w:ilvl w:val="0"/>
          <w:numId w:val="8"/>
        </w:numPr>
        <w:tabs>
          <w:tab w:val="left" w:pos="851"/>
          <w:tab w:val="left" w:pos="993"/>
        </w:tabs>
        <w:ind w:left="12" w:firstLine="69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общие механизмы, если таковые имеются,  обеспечения участия заинтересованных сторон (предприятий и организаций потребителей) в определении проблемных областей/приоритетов и оценке деятельности по надзору за рынком (например, рабочие семинары, форумы обсуждения, специальные встречи, онлайн-платформы).</w:t>
      </w:r>
    </w:p>
    <w:p w:rsidR="003D050C" w:rsidRPr="00156B04" w:rsidRDefault="003D050C" w:rsidP="003D050C">
      <w:pPr>
        <w:tabs>
          <w:tab w:val="num" w:pos="567"/>
        </w:tabs>
        <w:ind w:left="12" w:firstLine="69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1.6.2. Во избежание дублирования, когда релевантные процедуры относятся к сектору, они должны быть объяснены предпочтительно в части, относящейся к секторам, в разделе 2.1.2 (и в аналогичных разделах 2.2.2, 2.3.2 и т. д.).</w:t>
      </w:r>
    </w:p>
    <w:p w:rsidR="003D050C" w:rsidRPr="00156B04" w:rsidRDefault="003D050C" w:rsidP="003D050C">
      <w:pPr>
        <w:tabs>
          <w:tab w:val="num" w:pos="567"/>
        </w:tabs>
        <w:ind w:left="12" w:firstLine="69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Примеры надлежащих практик: орган дает общее представление об организации контроля и критериях для определения приоритетов в части  надзора за рынком. Другой орган объясняют, что оповещения транслируются через газеты и другие средства массовой информации. Два органа подошли к вопросу о регулярных встречах с заинтересованными сторонами.</w:t>
      </w:r>
    </w:p>
    <w:p w:rsidR="003D050C" w:rsidRPr="00156B04" w:rsidRDefault="003D050C" w:rsidP="003D050C">
      <w:pPr>
        <w:tabs>
          <w:tab w:val="num" w:pos="567"/>
          <w:tab w:val="left" w:pos="993"/>
        </w:tabs>
        <w:ind w:left="12" w:firstLine="555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left" w:pos="1134"/>
          <w:tab w:val="left" w:pos="1276"/>
          <w:tab w:val="num" w:pos="1430"/>
        </w:tabs>
        <w:spacing w:after="240"/>
        <w:ind w:left="1430" w:hanging="863"/>
        <w:outlineLvl w:val="1"/>
        <w:rPr>
          <w:b/>
          <w:sz w:val="24"/>
          <w:szCs w:val="24"/>
          <w:lang w:eastAsia="ro-RO" w:bidi="ro-RO"/>
        </w:rPr>
      </w:pPr>
      <w:bookmarkStart w:id="12" w:name="_Toc396310139"/>
      <w:bookmarkStart w:id="13" w:name="_Toc392679023"/>
      <w:r w:rsidRPr="00156B04">
        <w:rPr>
          <w:b/>
          <w:sz w:val="24"/>
          <w:szCs w:val="24"/>
          <w:lang w:eastAsia="ro-RO" w:bidi="ro-RO"/>
        </w:rPr>
        <w:t xml:space="preserve">1.7. Общие рамки сотрудничества с другими государствами </w:t>
      </w:r>
      <w:bookmarkEnd w:id="12"/>
      <w:bookmarkEnd w:id="13"/>
    </w:p>
    <w:p w:rsidR="003D050C" w:rsidRPr="00156B04" w:rsidRDefault="003D050C" w:rsidP="003D050C">
      <w:pPr>
        <w:tabs>
          <w:tab w:val="left" w:pos="993"/>
        </w:tabs>
        <w:ind w:left="12" w:firstLine="555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1.7.1. Если власти участвуют  в международном сотрудничестве, этот раздел должен содержать следующую информацию: </w:t>
      </w:r>
    </w:p>
    <w:p w:rsidR="003D050C" w:rsidRPr="00156B04" w:rsidRDefault="003D050C" w:rsidP="003D050C">
      <w:pPr>
        <w:numPr>
          <w:ilvl w:val="0"/>
          <w:numId w:val="9"/>
        </w:numPr>
        <w:tabs>
          <w:tab w:val="left" w:pos="993"/>
        </w:tabs>
        <w:ind w:hanging="153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орган-партнер  (органы-партнеры);</w:t>
      </w:r>
    </w:p>
    <w:p w:rsidR="003D050C" w:rsidRPr="00156B04" w:rsidRDefault="003D050C" w:rsidP="003D050C">
      <w:pPr>
        <w:numPr>
          <w:ilvl w:val="0"/>
          <w:numId w:val="9"/>
        </w:numPr>
        <w:tabs>
          <w:tab w:val="left" w:pos="993"/>
        </w:tabs>
        <w:ind w:left="12" w:firstLine="555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механизмы сотрудничества;</w:t>
      </w:r>
    </w:p>
    <w:p w:rsidR="003D050C" w:rsidRPr="00156B04" w:rsidRDefault="003D050C" w:rsidP="003D050C">
      <w:pPr>
        <w:numPr>
          <w:ilvl w:val="0"/>
          <w:numId w:val="9"/>
        </w:numPr>
        <w:tabs>
          <w:tab w:val="left" w:pos="993"/>
        </w:tabs>
        <w:ind w:left="12" w:firstLine="555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сферы сотрудничества и его график.</w:t>
      </w:r>
    </w:p>
    <w:p w:rsidR="003D050C" w:rsidRPr="00156B04" w:rsidRDefault="003D050C" w:rsidP="003D050C">
      <w:pPr>
        <w:tabs>
          <w:tab w:val="left" w:pos="993"/>
        </w:tabs>
        <w:ind w:left="567" w:firstLine="0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left" w:pos="710"/>
          <w:tab w:val="left" w:pos="1134"/>
        </w:tabs>
        <w:spacing w:after="240"/>
        <w:ind w:firstLine="567"/>
        <w:outlineLvl w:val="1"/>
        <w:rPr>
          <w:b/>
          <w:sz w:val="24"/>
          <w:szCs w:val="24"/>
          <w:lang w:eastAsia="ro-RO" w:bidi="ro-RO"/>
        </w:rPr>
      </w:pPr>
      <w:bookmarkStart w:id="14" w:name="_Toc392663948"/>
      <w:bookmarkStart w:id="15" w:name="_Toc392667169"/>
      <w:bookmarkStart w:id="16" w:name="_Toc392667558"/>
      <w:bookmarkStart w:id="17" w:name="_Toc392679024"/>
      <w:bookmarkStart w:id="18" w:name="_Toc396310140"/>
      <w:bookmarkEnd w:id="14"/>
      <w:bookmarkEnd w:id="15"/>
      <w:bookmarkEnd w:id="16"/>
      <w:r w:rsidRPr="00156B04">
        <w:rPr>
          <w:b/>
          <w:sz w:val="24"/>
          <w:szCs w:val="24"/>
          <w:lang w:eastAsia="ro-RO" w:bidi="ro-RO"/>
        </w:rPr>
        <w:lastRenderedPageBreak/>
        <w:t>1.8. Оценка действий по надзору за рынком и соответствующей отчетност</w:t>
      </w:r>
      <w:bookmarkEnd w:id="17"/>
      <w:bookmarkEnd w:id="18"/>
      <w:r w:rsidRPr="00156B04">
        <w:rPr>
          <w:b/>
          <w:sz w:val="24"/>
          <w:szCs w:val="24"/>
          <w:lang w:eastAsia="ro-RO" w:bidi="ro-RO"/>
        </w:rPr>
        <w:t>и</w:t>
      </w:r>
    </w:p>
    <w:p w:rsidR="003D050C" w:rsidRPr="00156B04" w:rsidRDefault="003D050C" w:rsidP="003D050C">
      <w:pPr>
        <w:tabs>
          <w:tab w:val="left" w:pos="993"/>
        </w:tabs>
        <w:ind w:left="12" w:firstLine="555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1.8.1. В этом разделе необходимо объяснить порядок  организации оценки деятельности, в частности: </w:t>
      </w:r>
    </w:p>
    <w:p w:rsidR="003D050C" w:rsidRPr="00156B04" w:rsidRDefault="003D050C" w:rsidP="003D050C">
      <w:pPr>
        <w:numPr>
          <w:ilvl w:val="0"/>
          <w:numId w:val="10"/>
        </w:numPr>
        <w:tabs>
          <w:tab w:val="left" w:pos="993"/>
        </w:tabs>
        <w:ind w:left="709" w:hanging="142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сфера оценки и сроки ее проведения;</w:t>
      </w:r>
    </w:p>
    <w:p w:rsidR="003D050C" w:rsidRPr="00156B04" w:rsidRDefault="003D050C" w:rsidP="003D050C">
      <w:pPr>
        <w:numPr>
          <w:ilvl w:val="0"/>
          <w:numId w:val="10"/>
        </w:numPr>
        <w:tabs>
          <w:tab w:val="left" w:pos="993"/>
        </w:tabs>
        <w:ind w:left="709" w:hanging="142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цели и критерии оценки;</w:t>
      </w:r>
    </w:p>
    <w:p w:rsidR="003D050C" w:rsidRPr="00156B04" w:rsidRDefault="003D050C" w:rsidP="003D050C">
      <w:pPr>
        <w:numPr>
          <w:ilvl w:val="0"/>
          <w:numId w:val="10"/>
        </w:numPr>
        <w:tabs>
          <w:tab w:val="left" w:pos="993"/>
        </w:tabs>
        <w:ind w:left="709" w:hanging="142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используемая методология;</w:t>
      </w:r>
    </w:p>
    <w:p w:rsidR="003D050C" w:rsidRPr="00156B04" w:rsidRDefault="003D050C" w:rsidP="003D050C">
      <w:pPr>
        <w:tabs>
          <w:tab w:val="left" w:pos="993"/>
        </w:tabs>
        <w:ind w:firstLine="0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       4) доступность или недоступность результатов  для  общественности и как доступ осуществляется.</w:t>
      </w:r>
    </w:p>
    <w:p w:rsidR="003D050C" w:rsidRPr="00156B04" w:rsidRDefault="003D050C" w:rsidP="003D050C">
      <w:pPr>
        <w:tabs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num" w:pos="0"/>
          <w:tab w:val="left" w:pos="1276"/>
        </w:tabs>
        <w:spacing w:after="240"/>
        <w:ind w:firstLine="709"/>
        <w:outlineLvl w:val="1"/>
        <w:rPr>
          <w:b/>
          <w:sz w:val="24"/>
          <w:szCs w:val="24"/>
          <w:lang w:eastAsia="ro-RO" w:bidi="ro-RO"/>
        </w:rPr>
      </w:pPr>
      <w:bookmarkStart w:id="19" w:name="_Toc396310141"/>
      <w:bookmarkStart w:id="20" w:name="_Toc392679025"/>
      <w:r w:rsidRPr="00156B04">
        <w:rPr>
          <w:b/>
          <w:sz w:val="24"/>
          <w:szCs w:val="24"/>
          <w:lang w:eastAsia="ru-RU"/>
        </w:rPr>
        <w:t xml:space="preserve">1.9. </w:t>
      </w:r>
      <w:r w:rsidRPr="00156B04">
        <w:rPr>
          <w:b/>
          <w:sz w:val="24"/>
          <w:szCs w:val="24"/>
          <w:lang w:eastAsia="ro-RO" w:bidi="ro-RO"/>
        </w:rPr>
        <w:t xml:space="preserve">Горизонтальные мероприятия, запланированные на соответствующий период </w:t>
      </w:r>
    </w:p>
    <w:bookmarkEnd w:id="19"/>
    <w:bookmarkEnd w:id="20"/>
    <w:p w:rsidR="003D050C" w:rsidRPr="00156B04" w:rsidRDefault="003D050C" w:rsidP="003D050C">
      <w:pPr>
        <w:tabs>
          <w:tab w:val="left" w:pos="993"/>
        </w:tabs>
        <w:ind w:left="12" w:firstLine="555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1.9.1. Этот раздел должен касаться любой планируемой деятельности (который не предназначен для конкретных секторов) в отношении общей организации надзора за рынком. Возможная горизонтальная деятельность по надзору за рынком должна,  в частности, касаться:</w:t>
      </w: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1) изменения или реформирования структуры, организации или функционирования надзора за рынком;</w:t>
      </w:r>
    </w:p>
    <w:p w:rsidR="003D050C" w:rsidRPr="00156B04" w:rsidRDefault="003D050C" w:rsidP="003D050C">
      <w:pPr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        2) подготовки или проведения мероприятий по горизонтальному сотрудничеству с другими органами или странами;</w:t>
      </w: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3) общего обучения;</w:t>
      </w:r>
    </w:p>
    <w:p w:rsidR="003D050C" w:rsidRPr="00156B04" w:rsidRDefault="003D050C" w:rsidP="003D050C">
      <w:pPr>
        <w:tabs>
          <w:tab w:val="left" w:pos="993"/>
        </w:tabs>
        <w:ind w:left="360"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    4) оценки надзора за рынком;</w:t>
      </w:r>
    </w:p>
    <w:p w:rsidR="003D050C" w:rsidRPr="00156B04" w:rsidRDefault="003D050C" w:rsidP="003D050C">
      <w:pPr>
        <w:tabs>
          <w:tab w:val="left" w:pos="993"/>
        </w:tabs>
        <w:ind w:left="360"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    5) участия в национальных инициативах;</w:t>
      </w:r>
    </w:p>
    <w:p w:rsidR="003D050C" w:rsidRPr="00156B04" w:rsidRDefault="003D050C" w:rsidP="003D050C">
      <w:pPr>
        <w:tabs>
          <w:tab w:val="left" w:pos="993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6) обновления или совершенствование методологий оценки рисков.</w:t>
      </w:r>
    </w:p>
    <w:p w:rsidR="003D050C" w:rsidRPr="00156B04" w:rsidRDefault="003D050C" w:rsidP="003D050C">
      <w:pPr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Примеры надлежащих практик: различные власти объясняют улучшения, которые они намерены внести в общую организацию надзора за рынком.</w:t>
      </w:r>
    </w:p>
    <w:p w:rsidR="003D050C" w:rsidRPr="00156B04" w:rsidRDefault="003D050C" w:rsidP="003D050C">
      <w:pPr>
        <w:tabs>
          <w:tab w:val="left" w:pos="993"/>
        </w:tabs>
        <w:ind w:firstLine="567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tabs>
          <w:tab w:val="left" w:pos="993"/>
        </w:tabs>
        <w:ind w:firstLine="567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tabs>
          <w:tab w:val="left" w:pos="993"/>
        </w:tabs>
        <w:ind w:firstLine="567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156B04">
        <w:rPr>
          <w:b/>
          <w:sz w:val="24"/>
          <w:szCs w:val="24"/>
          <w:lang w:eastAsia="ru-RU"/>
        </w:rPr>
        <w:t>2.</w:t>
      </w:r>
      <w:r w:rsidRPr="00156B04">
        <w:rPr>
          <w:sz w:val="24"/>
          <w:szCs w:val="24"/>
          <w:lang w:eastAsia="ru-RU"/>
        </w:rPr>
        <w:t xml:space="preserve"> </w:t>
      </w:r>
      <w:r w:rsidRPr="00156B04">
        <w:rPr>
          <w:b/>
          <w:sz w:val="24"/>
          <w:szCs w:val="24"/>
          <w:lang w:eastAsia="ro-RO" w:bidi="ro-RO"/>
        </w:rPr>
        <w:t>НАДЗОР ЗА РЫНКОМ В КОНКРЕТНЫХ СЕКТОРАХ</w:t>
      </w:r>
    </w:p>
    <w:p w:rsidR="003D050C" w:rsidRPr="00156B04" w:rsidRDefault="003D050C" w:rsidP="003D050C">
      <w:pPr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В этом разделе должна содержаться информация о деятельности по надзору за рынком в конкретных секторах. Релевантная информация может быть частью одного документа или может быть представлена в отдельных документах, но нумерация различных разделов должна оставаться неизменной, даже если они находятся в отдельных документах.</w:t>
      </w:r>
    </w:p>
    <w:p w:rsidR="003D050C" w:rsidRPr="00156B04" w:rsidRDefault="003D050C" w:rsidP="003D050C">
      <w:pPr>
        <w:tabs>
          <w:tab w:val="left" w:pos="851"/>
        </w:tabs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Приложение к Общей программе надзора за рынком содержит список соответствующих товарных групп. Властям предлагается включать дополнительные сектора, по необходимости.</w:t>
      </w:r>
    </w:p>
    <w:p w:rsidR="003D050C" w:rsidRPr="00156B04" w:rsidRDefault="003D050C" w:rsidP="003D050C">
      <w:pPr>
        <w:tabs>
          <w:tab w:val="left" w:pos="851"/>
        </w:tabs>
        <w:ind w:firstLine="567"/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num" w:pos="1134"/>
        </w:tabs>
        <w:spacing w:after="240"/>
        <w:ind w:left="1430" w:hanging="720"/>
        <w:outlineLvl w:val="1"/>
        <w:rPr>
          <w:b/>
          <w:sz w:val="24"/>
          <w:szCs w:val="24"/>
          <w:lang w:eastAsia="ro-RO" w:bidi="ro-RO"/>
        </w:rPr>
      </w:pPr>
      <w:r w:rsidRPr="00156B04">
        <w:rPr>
          <w:b/>
          <w:sz w:val="24"/>
          <w:szCs w:val="24"/>
          <w:lang w:eastAsia="ro-RO" w:bidi="ro-RO"/>
        </w:rPr>
        <w:t xml:space="preserve">2.1. </w:t>
      </w:r>
      <w:proofErr w:type="gramStart"/>
      <w:r w:rsidRPr="00156B04">
        <w:rPr>
          <w:b/>
          <w:sz w:val="24"/>
          <w:szCs w:val="24"/>
          <w:lang w:eastAsia="ro-RO" w:bidi="ro-RO"/>
        </w:rPr>
        <w:t>Сектор  (название из приложения к Общей программе надзора за рынком, например:</w:t>
      </w:r>
      <w:proofErr w:type="gramEnd"/>
      <w:r w:rsidRPr="00156B04">
        <w:rPr>
          <w:b/>
          <w:sz w:val="24"/>
          <w:szCs w:val="24"/>
          <w:lang w:eastAsia="ro-RO" w:bidi="ro-RO"/>
        </w:rPr>
        <w:t xml:space="preserve"> </w:t>
      </w:r>
      <w:proofErr w:type="gramStart"/>
      <w:r w:rsidRPr="00156B04">
        <w:rPr>
          <w:b/>
          <w:sz w:val="24"/>
          <w:szCs w:val="24"/>
          <w:lang w:eastAsia="ro-RO" w:bidi="ro-RO"/>
        </w:rPr>
        <w:t>Игрушки)</w:t>
      </w:r>
      <w:proofErr w:type="gramEnd"/>
    </w:p>
    <w:p w:rsidR="003D050C" w:rsidRPr="00156B04" w:rsidRDefault="003D050C" w:rsidP="003D050C">
      <w:pPr>
        <w:keepNext/>
        <w:numPr>
          <w:ilvl w:val="2"/>
          <w:numId w:val="0"/>
        </w:numPr>
        <w:tabs>
          <w:tab w:val="left" w:pos="1134"/>
          <w:tab w:val="left" w:pos="1560"/>
          <w:tab w:val="left" w:pos="1701"/>
          <w:tab w:val="num" w:pos="2552"/>
          <w:tab w:val="num" w:pos="4973"/>
        </w:tabs>
        <w:ind w:firstLine="709"/>
        <w:outlineLvl w:val="2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2.1.1. Ответственный орган и контактные данные</w:t>
      </w:r>
      <w:r w:rsidRPr="00156B04">
        <w:rPr>
          <w:i/>
          <w:sz w:val="24"/>
          <w:szCs w:val="24"/>
          <w:lang w:eastAsia="ro-RO" w:bidi="ro-RO"/>
        </w:rPr>
        <w:t xml:space="preserve"> </w:t>
      </w:r>
    </w:p>
    <w:p w:rsidR="003D050C" w:rsidRPr="00156B04" w:rsidRDefault="003D050C" w:rsidP="003D050C">
      <w:pPr>
        <w:keepNext/>
        <w:tabs>
          <w:tab w:val="left" w:pos="1134"/>
          <w:tab w:val="left" w:pos="1560"/>
          <w:tab w:val="left" w:pos="1701"/>
        </w:tabs>
        <w:outlineLvl w:val="2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Этот раздел должен содержать:</w:t>
      </w:r>
    </w:p>
    <w:p w:rsidR="003D050C" w:rsidRPr="00156B04" w:rsidRDefault="003D050C" w:rsidP="003D050C">
      <w:pPr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идентичность органа, ответственного за надзор за рынком в этом секторе;</w:t>
      </w:r>
    </w:p>
    <w:p w:rsidR="003D050C" w:rsidRPr="00156B04" w:rsidRDefault="003D050C" w:rsidP="003D050C">
      <w:pPr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контактные данные органа;</w:t>
      </w:r>
    </w:p>
    <w:p w:rsidR="003D050C" w:rsidRPr="00156B04" w:rsidRDefault="003D050C" w:rsidP="003D050C">
      <w:pPr>
        <w:numPr>
          <w:ilvl w:val="0"/>
          <w:numId w:val="11"/>
        </w:numPr>
        <w:tabs>
          <w:tab w:val="left" w:pos="1134"/>
          <w:tab w:val="left" w:pos="1560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данные о ресурсах, находящихся в распоряжении органа, таких как бюджет, персонал (выраженный в единицах  эквивалента полной занятости), а также технические средства (например, собственные лаборатории). </w:t>
      </w:r>
    </w:p>
    <w:p w:rsidR="003D050C" w:rsidRPr="00156B04" w:rsidRDefault="003D050C" w:rsidP="003D050C">
      <w:pPr>
        <w:tabs>
          <w:tab w:val="left" w:pos="1134"/>
          <w:tab w:val="left" w:pos="1560"/>
        </w:tabs>
        <w:rPr>
          <w:sz w:val="24"/>
          <w:szCs w:val="24"/>
          <w:lang w:eastAsia="ru-RU"/>
        </w:rPr>
      </w:pPr>
    </w:p>
    <w:p w:rsidR="003D050C" w:rsidRPr="00156B04" w:rsidRDefault="003D050C" w:rsidP="003D050C">
      <w:pPr>
        <w:keepNext/>
        <w:numPr>
          <w:ilvl w:val="2"/>
          <w:numId w:val="0"/>
        </w:numPr>
        <w:tabs>
          <w:tab w:val="left" w:pos="1134"/>
          <w:tab w:val="left" w:pos="1560"/>
        </w:tabs>
        <w:ind w:firstLine="709"/>
        <w:outlineLvl w:val="2"/>
        <w:rPr>
          <w:i/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2.1.2. Стратегия и процедуры надзора за рынком</w:t>
      </w:r>
    </w:p>
    <w:p w:rsidR="003D050C" w:rsidRPr="00156B04" w:rsidRDefault="003D050C" w:rsidP="003D050C">
      <w:pPr>
        <w:tabs>
          <w:tab w:val="left" w:pos="1134"/>
          <w:tab w:val="left" w:pos="1560"/>
        </w:tabs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 xml:space="preserve">В этом разделе необходимо объяснить: </w:t>
      </w:r>
    </w:p>
    <w:p w:rsidR="003D050C" w:rsidRPr="00156B04" w:rsidRDefault="003D050C" w:rsidP="003D050C">
      <w:pPr>
        <w:numPr>
          <w:ilvl w:val="0"/>
          <w:numId w:val="12"/>
        </w:numPr>
        <w:tabs>
          <w:tab w:val="left" w:pos="1134"/>
          <w:tab w:val="left" w:pos="1560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процедуры, релевантные в  соответствующем секторе (например, слежение за разрешением жалоб, мониторинг несчастных случаев, применяемые санкции), согласно разделу 1.6 на общем уровне;</w:t>
      </w:r>
    </w:p>
    <w:p w:rsidR="003D050C" w:rsidRPr="00156B04" w:rsidRDefault="003D050C" w:rsidP="003D050C">
      <w:pPr>
        <w:numPr>
          <w:ilvl w:val="0"/>
          <w:numId w:val="12"/>
        </w:numPr>
        <w:tabs>
          <w:tab w:val="left" w:pos="1134"/>
          <w:tab w:val="left" w:pos="1560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любые формы сотрудничества, характерные для соответствующего сектора, между компетентным органом и другими национальными органами, таможенным органом, органами других государств, путем заполнения – без дублирования – информации, представленной в разделах 1.2, 1.3 и 1.7;</w:t>
      </w:r>
    </w:p>
    <w:p w:rsidR="003D050C" w:rsidRPr="00156B04" w:rsidRDefault="003D050C" w:rsidP="003D050C">
      <w:pPr>
        <w:numPr>
          <w:ilvl w:val="0"/>
          <w:numId w:val="12"/>
        </w:numPr>
        <w:tabs>
          <w:tab w:val="left" w:pos="1134"/>
          <w:tab w:val="left" w:pos="1560"/>
        </w:tabs>
        <w:ind w:left="0" w:firstLine="709"/>
        <w:rPr>
          <w:sz w:val="24"/>
          <w:szCs w:val="24"/>
          <w:lang w:eastAsia="ru-RU"/>
        </w:rPr>
      </w:pPr>
      <w:proofErr w:type="gramStart"/>
      <w:r w:rsidRPr="00156B04">
        <w:rPr>
          <w:sz w:val="24"/>
          <w:szCs w:val="24"/>
          <w:lang w:eastAsia="ru-RU"/>
        </w:rPr>
        <w:t>общую стратегию надзора за рынком в данном секторе (например, на какой основе устанавливаются приоритеты для обеспечения соблюдения принудительных мер, общий метод мониторинга) и любая конкретная стратегия, которая должна соблюдаться на период реализации (например, по мере возможности, не конфиденциальную информацию об основных категориях продуктов или рисках, в зависимости от которых орган планирует конкретные инициативы по мониторингу).</w:t>
      </w:r>
      <w:proofErr w:type="gramEnd"/>
    </w:p>
    <w:p w:rsidR="003D050C" w:rsidRPr="00156B04" w:rsidRDefault="003D050C" w:rsidP="003D050C">
      <w:pPr>
        <w:keepNext/>
        <w:numPr>
          <w:ilvl w:val="2"/>
          <w:numId w:val="0"/>
        </w:numPr>
        <w:tabs>
          <w:tab w:val="num" w:pos="567"/>
          <w:tab w:val="left" w:pos="1134"/>
          <w:tab w:val="left" w:pos="1560"/>
        </w:tabs>
        <w:ind w:firstLine="709"/>
        <w:outlineLvl w:val="2"/>
        <w:rPr>
          <w:i/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2.1.3. Отчет о мероприятиях, проведенных в   предыдущем периоде внедрения</w:t>
      </w:r>
    </w:p>
    <w:p w:rsidR="003D050C" w:rsidRPr="00156B04" w:rsidRDefault="003D050C" w:rsidP="003D050C">
      <w:pPr>
        <w:tabs>
          <w:tab w:val="left" w:pos="1134"/>
          <w:tab w:val="left" w:pos="1560"/>
        </w:tabs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Этот раздел должен содержать резюме результатов деятельности (в частности, в отношении принудительной деятельности), проведенной в предыдущем году.</w:t>
      </w:r>
    </w:p>
    <w:p w:rsidR="003D050C" w:rsidRPr="00156B04" w:rsidRDefault="003D050C" w:rsidP="003D050C">
      <w:pPr>
        <w:keepNext/>
        <w:numPr>
          <w:ilvl w:val="1"/>
          <w:numId w:val="0"/>
        </w:numPr>
        <w:tabs>
          <w:tab w:val="num" w:pos="1430"/>
        </w:tabs>
        <w:spacing w:after="240"/>
        <w:ind w:left="1430" w:hanging="720"/>
        <w:outlineLvl w:val="1"/>
        <w:rPr>
          <w:b/>
          <w:sz w:val="24"/>
          <w:szCs w:val="24"/>
          <w:lang w:eastAsia="ro-RO" w:bidi="ro-RO"/>
        </w:rPr>
      </w:pPr>
      <w:bookmarkStart w:id="21" w:name="_Toc392663956"/>
      <w:bookmarkStart w:id="22" w:name="_Toc392667177"/>
      <w:bookmarkStart w:id="23" w:name="_Toc392667566"/>
      <w:bookmarkStart w:id="24" w:name="_Toc392667184"/>
      <w:bookmarkStart w:id="25" w:name="_Toc392667573"/>
      <w:bookmarkStart w:id="26" w:name="_Toc392667187"/>
      <w:bookmarkStart w:id="27" w:name="_Toc392667576"/>
      <w:bookmarkStart w:id="28" w:name="_Toc392667191"/>
      <w:bookmarkStart w:id="29" w:name="_Toc39266758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156B04">
        <w:rPr>
          <w:b/>
          <w:sz w:val="24"/>
          <w:szCs w:val="24"/>
          <w:lang w:eastAsia="ro-RO" w:bidi="ro-RO"/>
        </w:rPr>
        <w:t xml:space="preserve">2.2. </w:t>
      </w:r>
      <w:proofErr w:type="gramStart"/>
      <w:r w:rsidRPr="00156B04">
        <w:rPr>
          <w:b/>
          <w:sz w:val="24"/>
          <w:szCs w:val="24"/>
          <w:lang w:eastAsia="ro-RO" w:bidi="ro-RO"/>
        </w:rPr>
        <w:t>Сектор (например:</w:t>
      </w:r>
      <w:proofErr w:type="gramEnd"/>
      <w:r w:rsidRPr="00156B04">
        <w:rPr>
          <w:b/>
          <w:sz w:val="24"/>
          <w:szCs w:val="24"/>
          <w:lang w:eastAsia="ro-RO" w:bidi="ro-RO"/>
        </w:rPr>
        <w:t xml:space="preserve"> </w:t>
      </w:r>
      <w:proofErr w:type="gramStart"/>
      <w:r w:rsidRPr="00156B04">
        <w:rPr>
          <w:b/>
          <w:sz w:val="24"/>
          <w:szCs w:val="24"/>
          <w:lang w:eastAsia="ro-RO" w:bidi="ro-RO"/>
        </w:rPr>
        <w:t>Косметическая  продукция)</w:t>
      </w:r>
      <w:proofErr w:type="gramEnd"/>
    </w:p>
    <w:p w:rsidR="003D050C" w:rsidRPr="00156B04" w:rsidRDefault="003D050C" w:rsidP="003D050C">
      <w:pPr>
        <w:rPr>
          <w:b/>
          <w:caps/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u-RU"/>
        </w:rPr>
        <w:t>В дальнейшем заполняется в зависимости от количества существующих секторов.</w:t>
      </w:r>
    </w:p>
    <w:p w:rsidR="003D050C" w:rsidRPr="00156B04" w:rsidRDefault="003D050C" w:rsidP="003D050C">
      <w:pPr>
        <w:ind w:firstLine="0"/>
        <w:jc w:val="left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br w:type="column"/>
      </w:r>
      <w:r w:rsidRPr="00156B04">
        <w:rPr>
          <w:sz w:val="24"/>
          <w:szCs w:val="24"/>
          <w:lang w:eastAsia="ro-RO" w:bidi="ro-RO"/>
        </w:rPr>
        <w:lastRenderedPageBreak/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  <w:t xml:space="preserve">Приложение  </w:t>
      </w:r>
    </w:p>
    <w:p w:rsidR="003D050C" w:rsidRPr="00156B04" w:rsidRDefault="003D050C" w:rsidP="003D050C">
      <w:pPr>
        <w:spacing w:after="240"/>
        <w:ind w:firstLine="0"/>
        <w:jc w:val="left"/>
        <w:rPr>
          <w:caps/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  <w:t>к Общей программе надзора за рынком</w:t>
      </w:r>
    </w:p>
    <w:p w:rsidR="003D050C" w:rsidRPr="00156B04" w:rsidRDefault="003D050C" w:rsidP="003D050C">
      <w:pPr>
        <w:ind w:firstLine="0"/>
        <w:jc w:val="center"/>
        <w:rPr>
          <w:b/>
          <w:caps/>
          <w:sz w:val="24"/>
          <w:szCs w:val="24"/>
          <w:lang w:eastAsia="ro-RO" w:bidi="ro-RO"/>
        </w:rPr>
      </w:pPr>
      <w:r w:rsidRPr="00156B04">
        <w:rPr>
          <w:b/>
          <w:caps/>
          <w:sz w:val="24"/>
          <w:szCs w:val="24"/>
          <w:lang w:eastAsia="ro-RO" w:bidi="ro-RO"/>
        </w:rPr>
        <w:t xml:space="preserve"> СПРАВОЧНЫЙ СПИСОК </w:t>
      </w:r>
    </w:p>
    <w:p w:rsidR="003D050C" w:rsidRPr="00156B04" w:rsidRDefault="003D050C" w:rsidP="003D050C">
      <w:pPr>
        <w:ind w:firstLine="0"/>
        <w:jc w:val="center"/>
        <w:rPr>
          <w:b/>
          <w:sz w:val="24"/>
          <w:szCs w:val="24"/>
          <w:lang w:eastAsia="ru-RU"/>
        </w:rPr>
      </w:pPr>
      <w:r w:rsidRPr="00156B04">
        <w:rPr>
          <w:b/>
          <w:sz w:val="24"/>
          <w:szCs w:val="24"/>
          <w:lang w:eastAsia="ru-RU"/>
        </w:rPr>
        <w:t>групп продуктов</w:t>
      </w:r>
    </w:p>
    <w:p w:rsidR="003D050C" w:rsidRPr="00156B04" w:rsidRDefault="003D050C" w:rsidP="003D050C">
      <w:pPr>
        <w:ind w:firstLine="0"/>
        <w:rPr>
          <w:b/>
          <w:caps/>
          <w:sz w:val="24"/>
          <w:szCs w:val="24"/>
          <w:lang w:eastAsia="ro-RO" w:bidi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595"/>
      </w:tblGrid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after="120" w:line="25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56B04">
              <w:rPr>
                <w:b/>
                <w:sz w:val="24"/>
                <w:szCs w:val="24"/>
                <w:lang w:eastAsia="ru-RU"/>
              </w:rPr>
              <w:t>Группа продуктов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after="120" w:line="256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B04">
              <w:rPr>
                <w:b/>
                <w:sz w:val="24"/>
                <w:szCs w:val="24"/>
                <w:lang w:eastAsia="ru-RU"/>
              </w:rPr>
              <w:t>Директивы и соответствующие правила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1. Низковольтное оборудование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Директива 2014/35/ЕС Европейского Парламента и Совета от 26 февраля 2014 года по гармонизации законодательства государст</w:t>
            </w:r>
            <w:proofErr w:type="gramStart"/>
            <w:r w:rsidRPr="00156B04">
              <w:rPr>
                <w:sz w:val="24"/>
                <w:szCs w:val="24"/>
                <w:lang w:eastAsia="en-GB"/>
              </w:rPr>
              <w:t>в-</w:t>
            </w:r>
            <w:proofErr w:type="gramEnd"/>
            <w:r w:rsidRPr="00156B04">
              <w:rPr>
                <w:sz w:val="24"/>
                <w:szCs w:val="24"/>
                <w:lang w:eastAsia="en-GB"/>
              </w:rPr>
              <w:t xml:space="preserve"> членов, касающегося обеспечения наличия на рынке электрического оборудования, предназначенного для применения в определенных пределах напряжения, опубликованная в Официальном журнале Европейского Союза № L96/357 от 29 марта 2014 года </w:t>
            </w:r>
          </w:p>
        </w:tc>
      </w:tr>
      <w:tr w:rsidR="003D050C" w:rsidRPr="00156B04" w:rsidTr="00456FB2">
        <w:trPr>
          <w:cantSplit/>
          <w:trHeight w:val="1264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156B04">
              <w:rPr>
                <w:b/>
                <w:bCs/>
                <w:sz w:val="24"/>
                <w:szCs w:val="24"/>
                <w:lang w:eastAsia="en-GB"/>
              </w:rPr>
              <w:t xml:space="preserve">2. </w:t>
            </w:r>
            <w:r w:rsidRPr="00156B04">
              <w:rPr>
                <w:bCs/>
                <w:sz w:val="24"/>
                <w:szCs w:val="24"/>
                <w:lang w:eastAsia="en-GB"/>
              </w:rPr>
              <w:t xml:space="preserve">Электромагнитная </w:t>
            </w:r>
          </w:p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совместимость</w:t>
            </w:r>
          </w:p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Директива 2014/30/</w:t>
            </w:r>
            <w:proofErr w:type="gramStart"/>
            <w:r w:rsidRPr="00156B04">
              <w:rPr>
                <w:sz w:val="24"/>
                <w:szCs w:val="24"/>
                <w:lang w:eastAsia="en-GB"/>
              </w:rPr>
              <w:t>E</w:t>
            </w:r>
            <w:proofErr w:type="gramEnd"/>
            <w:r w:rsidRPr="00156B04">
              <w:rPr>
                <w:sz w:val="24"/>
                <w:szCs w:val="24"/>
                <w:lang w:eastAsia="en-GB"/>
              </w:rPr>
              <w:t xml:space="preserve">С Европейского Парламента и Совета от             26 февраля 2014 года о гармонизации законодательств государств-членов в отношении электромагнитной совместимости, опубликованная в Официальном журнале Европейского союза            № L96/79 от 29 марта 2014 года 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3. Игрушки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 xml:space="preserve">Директива 2009/48/ЕС Европейского Парламента и Совета от 18 июня 2009 года о безопасности игрушек, опубликованная в Официальном журнале Европейского Союза № L 170/1 от 30 июня 2009 года 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4. Неавтоматические весы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 xml:space="preserve">Директива 2014/31/ЕС Европейского Парламента и Совета от              26 февраля 2014 года о гармонизации законодательства государств-членов о присутствии на рынке неавтоматических  измерительных приборов (новая редакция), опубликованная в Официальном журнале Европейского Союза № L 96/107 от 29 марта 2014 года 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5. Средства измерения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Директива 2014/32/ЕС Европейского Парламента и Совета от 26 февраля 2014 года о гармонизации законодательства государств-членов об обеспечении присутствия на рынке средств измерений (в новой редакции), опубликованная в Официальном журнале Европейского Союза № L 96/149 от 29 марта 2014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156B04">
              <w:rPr>
                <w:sz w:val="24"/>
                <w:szCs w:val="24"/>
                <w:lang w:eastAsia="ru-RU"/>
              </w:rPr>
              <w:t>Газорасходные</w:t>
            </w:r>
            <w:proofErr w:type="spellEnd"/>
            <w:r w:rsidRPr="00156B04">
              <w:rPr>
                <w:sz w:val="24"/>
                <w:szCs w:val="24"/>
                <w:lang w:eastAsia="ru-RU"/>
              </w:rPr>
              <w:t xml:space="preserve"> аппараты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ru-RU"/>
              </w:rPr>
              <w:t xml:space="preserve">Директива 2009/142/ЕС Европейского Парламента и Совета от 30 ноября 2009 года о </w:t>
            </w:r>
            <w:proofErr w:type="spellStart"/>
            <w:r w:rsidRPr="00156B04">
              <w:rPr>
                <w:sz w:val="24"/>
                <w:szCs w:val="24"/>
                <w:lang w:eastAsia="ru-RU"/>
              </w:rPr>
              <w:t>газорасходных</w:t>
            </w:r>
            <w:proofErr w:type="spellEnd"/>
            <w:r w:rsidRPr="00156B04">
              <w:rPr>
                <w:sz w:val="24"/>
                <w:szCs w:val="24"/>
                <w:lang w:eastAsia="ru-RU"/>
              </w:rPr>
              <w:t xml:space="preserve"> аппаратах, опубликованная в Официальном журнале Европейского Союза № L 330/10 от 16 декабря 2009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7. Водогрейные котлы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bCs/>
                <w:sz w:val="24"/>
                <w:szCs w:val="24"/>
                <w:lang w:eastAsia="en-GB"/>
              </w:rPr>
            </w:pPr>
            <w:r w:rsidRPr="00156B04">
              <w:rPr>
                <w:bCs/>
                <w:sz w:val="24"/>
                <w:szCs w:val="24"/>
                <w:lang w:eastAsia="en-GB"/>
              </w:rPr>
              <w:t xml:space="preserve">Директива </w:t>
            </w:r>
            <w:r w:rsidRPr="00156B04">
              <w:rPr>
                <w:sz w:val="24"/>
                <w:szCs w:val="24"/>
                <w:lang w:eastAsia="en-GB"/>
              </w:rPr>
              <w:t>92/42/CEE</w:t>
            </w:r>
            <w:r w:rsidRPr="00156B04">
              <w:rPr>
                <w:bCs/>
                <w:sz w:val="24"/>
                <w:szCs w:val="24"/>
                <w:lang w:eastAsia="en-GB"/>
              </w:rPr>
              <w:t xml:space="preserve"> Совета от 21 мая 1992 года о требованиях КПД для новых водогрейных котлов, работающих на жидком или газообразном топливе, опубликованная в Официальном журнале Европейского Союза №. L 177/17 от 22 июня 1992 года 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lastRenderedPageBreak/>
              <w:t>8. Энергетическая маркировка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 xml:space="preserve">1. Делегированный регламент (ЕС) № 392/2012 Комиссии от 1 марта 2012 года, дополняющий Директиву Европейского Парламента и Совета 2010/30/ЕС в отношении энергетической маркировки бытовых барабанных сушилок, опубликованный в Официальном журнале Европейского Союза № L 123/1 от 9 мая 2012 года </w:t>
            </w:r>
          </w:p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 xml:space="preserve">2. Делегированный регламент ЕС № 626/2011 Европейской Комиссии от 4 мая 2011 года, дополняющий Директиву 2010/30/ЕС Европейского Парламента и Совета в отношении энергетической маркировки кондиционеров, опубликованный в Официальном журнале Европейского Союза №  L178/1 от 6 июля 2011 года </w:t>
            </w:r>
          </w:p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3. Делегированный регламент (ЕС) № 65/2014 Комиссии от 1 октября 2013 года, дополняющий Директиву 2010/30/ЕС Европейского Парламента и Совета в отношении энергетической маркировки бытовых печей и вытяжек, опубликованный в Официальном журнале ЕС  № L29/1 от 31 января 2014 года</w:t>
            </w:r>
          </w:p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4.</w:t>
            </w:r>
            <w:r w:rsidRPr="00156B04">
              <w:rPr>
                <w:sz w:val="24"/>
                <w:szCs w:val="24"/>
                <w:lang w:eastAsia="ru-RU"/>
              </w:rPr>
              <w:t xml:space="preserve"> </w:t>
            </w:r>
            <w:r w:rsidRPr="00156B04">
              <w:rPr>
                <w:sz w:val="24"/>
                <w:szCs w:val="24"/>
                <w:lang w:eastAsia="en-GB"/>
              </w:rPr>
              <w:t>Делегированный регламент 874/2012 Комиссии от 12 июля 2012 года, дополняющий Директиву 2010/30/</w:t>
            </w:r>
            <w:proofErr w:type="gramStart"/>
            <w:r w:rsidRPr="00156B04">
              <w:rPr>
                <w:sz w:val="24"/>
                <w:szCs w:val="24"/>
                <w:lang w:eastAsia="en-GB"/>
              </w:rPr>
              <w:t>E</w:t>
            </w:r>
            <w:proofErr w:type="gramEnd"/>
            <w:r w:rsidRPr="00156B04">
              <w:rPr>
                <w:sz w:val="24"/>
                <w:szCs w:val="24"/>
                <w:lang w:eastAsia="en-GB"/>
              </w:rPr>
              <w:t xml:space="preserve">С Европейского Парламента и Совета в отношении энергетической маркировки электрических ламп и светильников, опубликованный в Официальном журнале Европейского Союза  № L 258/1 от 26 сентября 2012 года </w:t>
            </w:r>
          </w:p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5.</w:t>
            </w:r>
            <w:r w:rsidRPr="00156B04">
              <w:rPr>
                <w:sz w:val="24"/>
                <w:szCs w:val="24"/>
                <w:lang w:eastAsia="ru-RU"/>
              </w:rPr>
              <w:t xml:space="preserve"> </w:t>
            </w:r>
            <w:r w:rsidRPr="00156B04">
              <w:rPr>
                <w:sz w:val="24"/>
                <w:szCs w:val="24"/>
                <w:lang w:eastAsia="en-GB"/>
              </w:rPr>
              <w:t>Делегированный регламент (ЕС) 1061/2010 Комиссии от 28 сентября 2010 года, дополняющий Директиву 2010/30/ЕС Европейского Парламента и Совета в отношении энергетической маркировки бытовых стиральных машин, опубликованный в Официальном журнале ЕС № L314/47 от 30 ноября 2010 года</w:t>
            </w:r>
          </w:p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6.</w:t>
            </w:r>
            <w:r w:rsidRPr="00156B04">
              <w:rPr>
                <w:sz w:val="24"/>
                <w:szCs w:val="24"/>
                <w:lang w:eastAsia="ru-RU"/>
              </w:rPr>
              <w:t xml:space="preserve"> </w:t>
            </w:r>
            <w:r w:rsidRPr="00156B04">
              <w:rPr>
                <w:sz w:val="24"/>
                <w:szCs w:val="24"/>
                <w:lang w:eastAsia="en-GB"/>
              </w:rPr>
              <w:t xml:space="preserve">Делегированный регламент (ЕС) № 1059/2010  Комиссии от 28 сентября 2010 года, дополняющий Директиву Европейского Парламента и Совета 2010/30/ЕС о требованиях к энергетической маркировке бытовых посудомоечных машин, опубликованный в Официальном журнале Европейского Союза № L314/1 от 30 ноября 2010 года </w:t>
            </w:r>
          </w:p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7.</w:t>
            </w:r>
            <w:r w:rsidRPr="00156B04">
              <w:rPr>
                <w:sz w:val="24"/>
                <w:szCs w:val="24"/>
                <w:lang w:eastAsia="ru-RU"/>
              </w:rPr>
              <w:t xml:space="preserve"> </w:t>
            </w:r>
            <w:r w:rsidRPr="00156B04">
              <w:rPr>
                <w:sz w:val="24"/>
                <w:szCs w:val="24"/>
                <w:lang w:eastAsia="en-GB"/>
              </w:rPr>
              <w:t>Делегированный регламент (ЕС) № 1060/2010 Комиссии от 28 сентября 2010 года, дополняющий Директиву Европейского Парламента и Совета 2010/30/ЕС о требованиях к энергетической маркировке бытовых холодильников, опубликованный в Официальном журнале Европейского Союза№ L314/17 от 30 ноября 2010 года</w:t>
            </w:r>
          </w:p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8.</w:t>
            </w:r>
            <w:r w:rsidRPr="00156B04">
              <w:rPr>
                <w:sz w:val="24"/>
                <w:szCs w:val="24"/>
                <w:lang w:eastAsia="ru-RU"/>
              </w:rPr>
              <w:t xml:space="preserve"> </w:t>
            </w:r>
            <w:r w:rsidRPr="00156B04">
              <w:rPr>
                <w:sz w:val="24"/>
                <w:szCs w:val="24"/>
                <w:lang w:eastAsia="en-GB"/>
              </w:rPr>
              <w:t xml:space="preserve">Делегированный регламент (ЕС) № 1062/2010 Комиссии от 28 сентября 2010 года, дополняющий Директиву Европейского Парламента и Совета 2010/30/UE в отношении энергетической маркировки телевизионных аппаратов, опубликованный в Официальном журнале Европейского Союза № L314/64 от 30 ноября 2010 года 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lastRenderedPageBreak/>
              <w:t>9. Промышленные машины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proofErr w:type="gramStart"/>
            <w:r w:rsidRPr="00156B04">
              <w:rPr>
                <w:sz w:val="24"/>
                <w:szCs w:val="24"/>
                <w:lang w:eastAsia="en-GB"/>
              </w:rPr>
              <w:t>Директива 2006/42/ЕС Европейского Парламента и Совета от 17 мая 2006 года о промышленном оборудовании и об изменении Директивы 95/16/ЕС (в новой редакции), опубликованная в Официальном журнале Европейского Союза № L 157/24 от 9 июня 2006 года, измененная и дополненная Директивой 2009/127/ЕС Европейского Парламента и Совета от 21 октября 2009 года об изменении Директивы 2006</w:t>
            </w:r>
            <w:proofErr w:type="gramEnd"/>
            <w:r w:rsidRPr="00156B04">
              <w:rPr>
                <w:sz w:val="24"/>
                <w:szCs w:val="24"/>
                <w:lang w:eastAsia="en-GB"/>
              </w:rPr>
              <w:t>/42/ЕС о промышленном оборудовании по применению пестицидов и  Регламентом (ЕС) № 596/2009 Европейского Парламента и Совета от 18 июня 2009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10. Лифты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iCs/>
                <w:sz w:val="24"/>
                <w:szCs w:val="24"/>
                <w:lang w:eastAsia="en-GB"/>
              </w:rPr>
            </w:pPr>
            <w:r w:rsidRPr="00156B04">
              <w:rPr>
                <w:iCs/>
                <w:sz w:val="24"/>
                <w:szCs w:val="24"/>
                <w:lang w:eastAsia="en-GB"/>
              </w:rPr>
              <w:t>Директива 2014/33/ЕС Европейского Парламента и Совета от 26 февраля 2014 года о сближении законодательства государств-членов ЕС, связанного с лифтами, и компонентов безопасности для лифтов,</w:t>
            </w:r>
            <w:r w:rsidRPr="00156B04">
              <w:rPr>
                <w:sz w:val="24"/>
                <w:szCs w:val="24"/>
                <w:lang w:eastAsia="ru-RU"/>
              </w:rPr>
              <w:t xml:space="preserve"> опубликованной в Официальном журнале Европейского Союза №</w:t>
            </w:r>
            <w:r w:rsidRPr="00156B04">
              <w:rPr>
                <w:sz w:val="24"/>
                <w:szCs w:val="24"/>
                <w:lang w:eastAsia="en-GB"/>
              </w:rPr>
              <w:t xml:space="preserve"> L 96/251 от 29 марта 2014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11. Холодильное оборудование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spacing w:after="120"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12. Потенциально взрывоопасные сферы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iCs/>
                <w:sz w:val="24"/>
                <w:szCs w:val="24"/>
                <w:lang w:eastAsia="en-GB"/>
              </w:rPr>
            </w:pPr>
            <w:r w:rsidRPr="00156B04">
              <w:rPr>
                <w:iCs/>
                <w:sz w:val="24"/>
                <w:szCs w:val="24"/>
                <w:lang w:eastAsia="en-GB"/>
              </w:rPr>
              <w:t xml:space="preserve">Директива 2014/34/ЕС Европейского Парламента и Совета от 26 февраля 2014 года о сближении законов государств-членов СЕ, касающихся оборудования и защитных систем, предназначенных для использования в потенциально взрывоопасных средах, </w:t>
            </w:r>
            <w:r w:rsidRPr="00156B04">
              <w:rPr>
                <w:sz w:val="24"/>
                <w:szCs w:val="24"/>
                <w:lang w:eastAsia="ru-RU"/>
              </w:rPr>
              <w:t>опубликованная в Официальном журнале Европейского Союза №</w:t>
            </w:r>
            <w:r w:rsidRPr="00156B04">
              <w:rPr>
                <w:sz w:val="24"/>
                <w:szCs w:val="24"/>
                <w:lang w:eastAsia="en-GB"/>
              </w:rPr>
              <w:t xml:space="preserve"> L 96/309 от 29 марта 2014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13. Канатные установки, предназначенные для перевозки людей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Директива 2000/9/ЕС Европейского Парламента и Совета от 20 марта 2000 года, касающаяся канатных установок, предназначенных для перевозки людей, опубликованная в Официальном журнале Европейского Союза № L 106 от 3 мая 2000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14.</w:t>
            </w:r>
            <w:r w:rsidRPr="00156B04">
              <w:rPr>
                <w:iCs/>
                <w:sz w:val="24"/>
                <w:szCs w:val="24"/>
                <w:lang w:eastAsia="en-GB"/>
              </w:rPr>
              <w:t xml:space="preserve"> Простые </w:t>
            </w:r>
            <w:r w:rsidRPr="00156B04">
              <w:rPr>
                <w:sz w:val="24"/>
                <w:szCs w:val="24"/>
                <w:lang w:eastAsia="ru-RU"/>
              </w:rPr>
              <w:t>сосуды под давлением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iCs/>
                <w:sz w:val="24"/>
                <w:szCs w:val="24"/>
                <w:lang w:eastAsia="en-GB"/>
              </w:rPr>
            </w:pPr>
            <w:r w:rsidRPr="00156B04">
              <w:rPr>
                <w:iCs/>
                <w:sz w:val="24"/>
                <w:szCs w:val="24"/>
                <w:lang w:eastAsia="en-GB"/>
              </w:rPr>
              <w:t xml:space="preserve">Директива 2014/29/ЕС Европейского Парламента и Совета от 26 февраля 2014 года о согласовании положений, касающихся наличия на рынке простых сосудов под давлением, </w:t>
            </w:r>
            <w:r w:rsidRPr="00156B04">
              <w:rPr>
                <w:sz w:val="24"/>
                <w:szCs w:val="24"/>
                <w:lang w:eastAsia="ru-RU"/>
              </w:rPr>
              <w:t>опубликованная в Официальном журнале Европейского Союза №</w:t>
            </w:r>
            <w:r w:rsidRPr="00156B04">
              <w:rPr>
                <w:sz w:val="24"/>
                <w:szCs w:val="24"/>
                <w:lang w:eastAsia="en-GB"/>
              </w:rPr>
              <w:t xml:space="preserve"> L96/45 от 29 марта 2014 года  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15. Оборудование, работающее под давлением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iCs/>
                <w:sz w:val="24"/>
                <w:szCs w:val="24"/>
                <w:lang w:eastAsia="en-GB"/>
              </w:rPr>
              <w:t>Директива 2014/68/ЕС Европейского Парламента и Совета от 15 мая 2014 года о соответствии положений, относящихся к размещению на рынке оборудования под давлением,</w:t>
            </w:r>
            <w:r w:rsidRPr="00156B04">
              <w:rPr>
                <w:sz w:val="24"/>
                <w:szCs w:val="24"/>
                <w:lang w:eastAsia="ru-RU"/>
              </w:rPr>
              <w:t xml:space="preserve"> опубликованная в Официальном журнале Европейского Союза №</w:t>
            </w:r>
            <w:r w:rsidRPr="00156B04">
              <w:rPr>
                <w:sz w:val="24"/>
                <w:szCs w:val="24"/>
                <w:lang w:eastAsia="en-GB"/>
              </w:rPr>
              <w:t xml:space="preserve"> L 189/164 от 27 июня 2014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16. Оборудование под давлением транспортабельное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proofErr w:type="gramStart"/>
            <w:r w:rsidRPr="00156B04">
              <w:rPr>
                <w:bCs/>
                <w:sz w:val="24"/>
                <w:szCs w:val="24"/>
                <w:lang w:eastAsia="en-GB"/>
              </w:rPr>
              <w:t>Директива 2010/35/ЕС Европейского парламента и Совета от 16 июня 2010 года об оборудовании с переносным давлением и отменяющая Директивы 76/767/EEC, 84/525/EEC, 84/526/EEC, 84/527/ЕЭС и 1999/36/EC, опубликованная в Официальном журнале Европейского Союза №  L 165/1 от 30 июня 2010 года</w:t>
            </w:r>
            <w:proofErr w:type="gramEnd"/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lastRenderedPageBreak/>
              <w:t>17. Взрывчатые вещества, применяемые в гражданских целях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Директива ЕС 2014/28 Европейского Парламента и Совета от 26 февраля 2014 года о сближении законов государств-членов, касающихся выпуска на рынок и контроля над взрывчатыми веществами для использования в гражданских целях, опубликованная в Официальном журнале Европейского Союза №  L 96/1 от 29 марта 2014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18. Средства индивидуальной защиты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bCs/>
                <w:sz w:val="24"/>
                <w:szCs w:val="24"/>
                <w:lang w:eastAsia="ru-RU"/>
              </w:rPr>
              <w:t>Директива 89/686/ЕЭС</w:t>
            </w:r>
            <w:r w:rsidRPr="00156B04">
              <w:rPr>
                <w:sz w:val="24"/>
                <w:szCs w:val="24"/>
                <w:lang w:eastAsia="ru-RU"/>
              </w:rPr>
              <w:t xml:space="preserve"> Совета от 21 декабря 1989 года о сближении законодательства государств-членов, касающегося средств индивидуальной защиты, опубликованная  в </w:t>
            </w:r>
            <w:r w:rsidRPr="00156B04">
              <w:rPr>
                <w:sz w:val="24"/>
                <w:szCs w:val="24"/>
                <w:lang w:eastAsia="en-GB"/>
              </w:rPr>
              <w:t xml:space="preserve"> Официальном журнале Европейского Союза №  L 399/18 от 30 декабря 1989 года 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19. Пиротехнические изделия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Директива 2013/29/ЕС Европейского парламента и Совета от 12 июня 2013 года о сближении законов государств-членов, касающихся выпуска на рынке пиротехнических изделий (в новой редакции), опубликованная в Официальном журнале Европейского Союза           №  L 178/27 от 28 июня 2013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tabs>
                <w:tab w:val="left" w:pos="480"/>
              </w:tabs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 xml:space="preserve">20. Шумовое загрязнение окружающей среды, создаваемое оборудованием, предназначенным для работы на открытом воздухе 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spacing w:after="120"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21. Строительная продукция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bCs/>
                <w:sz w:val="24"/>
                <w:szCs w:val="24"/>
                <w:lang w:eastAsia="ru-RU"/>
              </w:rPr>
              <w:t>Регламент (ЕС) № 305/2011</w:t>
            </w:r>
            <w:r w:rsidRPr="00156B0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6B04">
              <w:rPr>
                <w:sz w:val="24"/>
                <w:szCs w:val="24"/>
                <w:lang w:eastAsia="ru-RU"/>
              </w:rPr>
              <w:t>Европейского Парламента и Совета от 9 марта 2011 года, устанавливающий гармонизированные условия для размещения на рынке строительной продукции</w:t>
            </w:r>
            <w:r w:rsidRPr="00156B04">
              <w:rPr>
                <w:sz w:val="24"/>
                <w:szCs w:val="24"/>
                <w:lang w:eastAsia="en-GB"/>
              </w:rPr>
              <w:t xml:space="preserve"> об отмене Директивы 89/106/C</w:t>
            </w:r>
            <w:proofErr w:type="gramStart"/>
            <w:r w:rsidRPr="00156B04">
              <w:rPr>
                <w:sz w:val="24"/>
                <w:szCs w:val="24"/>
                <w:lang w:eastAsia="en-GB"/>
              </w:rPr>
              <w:t>Э</w:t>
            </w:r>
            <w:proofErr w:type="gramEnd"/>
            <w:r w:rsidRPr="00156B04">
              <w:rPr>
                <w:sz w:val="24"/>
                <w:szCs w:val="24"/>
                <w:lang w:eastAsia="en-GB"/>
              </w:rPr>
              <w:t xml:space="preserve">E, </w:t>
            </w:r>
            <w:r w:rsidRPr="00156B04">
              <w:rPr>
                <w:sz w:val="24"/>
                <w:szCs w:val="24"/>
                <w:lang w:eastAsia="ru-RU"/>
              </w:rPr>
              <w:t>опубликованный в Официальном журнале Европейского Союза №</w:t>
            </w:r>
            <w:r w:rsidRPr="00156B04">
              <w:rPr>
                <w:sz w:val="24"/>
                <w:szCs w:val="24"/>
                <w:lang w:eastAsia="en-GB"/>
              </w:rPr>
              <w:t xml:space="preserve"> L 88/5 от 4 апреля 2011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22. Радио оборудование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bCs/>
                <w:sz w:val="24"/>
                <w:szCs w:val="24"/>
                <w:lang w:eastAsia="en-GB"/>
              </w:rPr>
              <w:t>Директива 2014/53/ЕС</w:t>
            </w:r>
            <w:r w:rsidRPr="00156B04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56B04">
              <w:rPr>
                <w:sz w:val="24"/>
                <w:szCs w:val="24"/>
                <w:lang w:eastAsia="en-GB"/>
              </w:rPr>
              <w:t xml:space="preserve">Европейского парламента и Совета от 16 апреля 2014 года о согласовании положений, относящихся к размещению на рынке радиооборудования и об отмене Директивы </w:t>
            </w:r>
            <w:r w:rsidRPr="00156B04">
              <w:rPr>
                <w:sz w:val="24"/>
                <w:szCs w:val="24"/>
              </w:rPr>
              <w:t>1999/5/</w:t>
            </w:r>
            <w:proofErr w:type="gramStart"/>
            <w:r w:rsidRPr="00156B04">
              <w:rPr>
                <w:sz w:val="24"/>
                <w:szCs w:val="24"/>
              </w:rPr>
              <w:t>E</w:t>
            </w:r>
            <w:proofErr w:type="gramEnd"/>
            <w:r w:rsidRPr="00156B04">
              <w:rPr>
                <w:sz w:val="24"/>
                <w:szCs w:val="24"/>
              </w:rPr>
              <w:t>С,</w:t>
            </w:r>
            <w:r w:rsidRPr="00156B04">
              <w:rPr>
                <w:sz w:val="24"/>
                <w:szCs w:val="24"/>
                <w:lang w:eastAsia="ru-RU"/>
              </w:rPr>
              <w:t xml:space="preserve"> опубликованная в Официальном журнале Европейского Союза №</w:t>
            </w:r>
            <w:r w:rsidRPr="00156B04">
              <w:rPr>
                <w:sz w:val="24"/>
                <w:szCs w:val="24"/>
              </w:rPr>
              <w:t xml:space="preserve"> L153/62 от 25 мая 2015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23. Прогулочные суда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iCs/>
                <w:sz w:val="24"/>
                <w:szCs w:val="24"/>
                <w:lang w:eastAsia="ru-RU"/>
              </w:rPr>
              <w:t>Директива 2013/53/ЕС Европейского Парламента и Совета от 20 ноября 2013 года о маломерных судах и гидроциклах</w:t>
            </w:r>
            <w:r w:rsidRPr="00156B04">
              <w:rPr>
                <w:sz w:val="24"/>
                <w:szCs w:val="24"/>
                <w:lang w:eastAsia="en-GB"/>
              </w:rPr>
              <w:t xml:space="preserve"> и об отмене Директивы 94/25/EC, опубликованная в Официальном журнале Европейского Союза №  L 354/90 от 28 декабря 2013 года</w:t>
            </w: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24. Морское оборудование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spacing w:after="120"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t>25.Интероперативность трансъевропейской системы железнодорожного транспорта больших скоростей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spacing w:after="120"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sz w:val="24"/>
                <w:szCs w:val="24"/>
                <w:lang w:eastAsia="en-GB"/>
              </w:rPr>
              <w:lastRenderedPageBreak/>
              <w:t>26.Интероперативность трансъевропейской системы конвенциональных железных дорог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spacing w:after="120"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050C" w:rsidRPr="00156B04" w:rsidTr="00456FB2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C" w:rsidRPr="00156B04" w:rsidRDefault="003D050C" w:rsidP="00456FB2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27. Упаковка и упаковочные отходы</w:t>
            </w:r>
          </w:p>
        </w:tc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C" w:rsidRPr="00156B04" w:rsidRDefault="003D050C" w:rsidP="00456FB2">
            <w:pPr>
              <w:ind w:firstLine="0"/>
              <w:rPr>
                <w:sz w:val="24"/>
                <w:szCs w:val="24"/>
                <w:lang w:eastAsia="en-GB"/>
              </w:rPr>
            </w:pPr>
            <w:r w:rsidRPr="00156B04">
              <w:rPr>
                <w:bCs/>
                <w:sz w:val="24"/>
                <w:szCs w:val="24"/>
                <w:lang w:eastAsia="ru-RU"/>
              </w:rPr>
              <w:t xml:space="preserve">Директива 94/62/ЕС </w:t>
            </w:r>
            <w:r w:rsidRPr="00156B04">
              <w:rPr>
                <w:sz w:val="24"/>
                <w:szCs w:val="24"/>
                <w:lang w:eastAsia="ru-RU"/>
              </w:rPr>
              <w:t>Европейского Парламента и Совета от 20 декабря 1994 года об упаковке и упаковочных отходах, опубликованная в Официальном журнале Европейского Союза №  L 365/10 от 31 декабря 1994 года.</w:t>
            </w:r>
          </w:p>
        </w:tc>
      </w:tr>
    </w:tbl>
    <w:p w:rsidR="003D050C" w:rsidRPr="00156B04" w:rsidRDefault="003D050C" w:rsidP="003D050C">
      <w:pPr>
        <w:ind w:firstLine="0"/>
        <w:jc w:val="center"/>
        <w:rPr>
          <w:b/>
          <w:spacing w:val="-3"/>
          <w:sz w:val="24"/>
          <w:szCs w:val="24"/>
          <w:lang w:eastAsia="ru-RU"/>
        </w:rPr>
      </w:pPr>
    </w:p>
    <w:p w:rsidR="003D050C" w:rsidRPr="00156B04" w:rsidRDefault="003D050C" w:rsidP="003D050C">
      <w:pPr>
        <w:pStyle w:val="FootnoteText"/>
        <w:spacing w:after="120"/>
        <w:ind w:firstLine="709"/>
        <w:jc w:val="both"/>
        <w:rPr>
          <w:sz w:val="24"/>
          <w:szCs w:val="24"/>
          <w:lang w:val="ru-RU"/>
        </w:rPr>
      </w:pPr>
      <w:r w:rsidRPr="00156B04">
        <w:rPr>
          <w:sz w:val="24"/>
          <w:szCs w:val="24"/>
          <w:lang w:val="ru-RU"/>
        </w:rPr>
        <w:t>Для удобства использования ссылок, данная  таблица будет содержать и третью рубрику «Национальное законодательство (утвержденное/подлежащее утверждению)», в котором будет указано действующее законодательство. Новые законодательные акты, заменяющие акты, перечисленные в таблице, также должны учитываться в течение соответствующего периода, в котором они применимы. В некоторых случаях (например, эко-дизайн, энергетическая маркировка)  в таблице указано только   рамочное законодательство, но она  предназначена для охвата и  законодательных актов, специфичных для продукции.</w:t>
      </w:r>
    </w:p>
    <w:p w:rsidR="003D050C" w:rsidRPr="00156B04" w:rsidRDefault="003D050C" w:rsidP="003D050C">
      <w:pPr>
        <w:ind w:firstLine="0"/>
        <w:jc w:val="center"/>
        <w:rPr>
          <w:b/>
          <w:spacing w:val="-3"/>
          <w:sz w:val="24"/>
          <w:szCs w:val="24"/>
          <w:lang w:eastAsia="ru-RU"/>
        </w:rPr>
      </w:pPr>
    </w:p>
    <w:p w:rsidR="003D050C" w:rsidRDefault="003D050C">
      <w:bookmarkStart w:id="30" w:name="_GoBack"/>
      <w:bookmarkEnd w:id="30"/>
    </w:p>
    <w:sectPr w:rsidR="003D0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B8B"/>
    <w:multiLevelType w:val="hybridMultilevel"/>
    <w:tmpl w:val="670256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78C8"/>
    <w:multiLevelType w:val="hybridMultilevel"/>
    <w:tmpl w:val="E20EC0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7DB6"/>
    <w:multiLevelType w:val="hybridMultilevel"/>
    <w:tmpl w:val="20E08242"/>
    <w:lvl w:ilvl="0" w:tplc="9DA0AD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E6B40"/>
    <w:multiLevelType w:val="hybridMultilevel"/>
    <w:tmpl w:val="855814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61882"/>
    <w:multiLevelType w:val="hybridMultilevel"/>
    <w:tmpl w:val="C7906D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D3778"/>
    <w:multiLevelType w:val="hybridMultilevel"/>
    <w:tmpl w:val="67BC2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505DE"/>
    <w:multiLevelType w:val="hybridMultilevel"/>
    <w:tmpl w:val="ACDE4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D3DCA"/>
    <w:multiLevelType w:val="hybridMultilevel"/>
    <w:tmpl w:val="71345D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7700A"/>
    <w:multiLevelType w:val="hybridMultilevel"/>
    <w:tmpl w:val="F99C64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00B48"/>
    <w:multiLevelType w:val="hybridMultilevel"/>
    <w:tmpl w:val="FDA429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B3416"/>
    <w:multiLevelType w:val="hybridMultilevel"/>
    <w:tmpl w:val="CE3A045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ACC4A4E"/>
    <w:multiLevelType w:val="hybridMultilevel"/>
    <w:tmpl w:val="71846C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C"/>
    <w:rsid w:val="003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D050C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50C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D050C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50C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3446</Words>
  <Characters>19646</Characters>
  <Application>Microsoft Office Word</Application>
  <DocSecurity>0</DocSecurity>
  <Lines>163</Lines>
  <Paragraphs>46</Paragraphs>
  <ScaleCrop>false</ScaleCrop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2018-01-11T14:27:00Z</dcterms:created>
  <dcterms:modified xsi:type="dcterms:W3CDTF">2018-01-11T14:28:00Z</dcterms:modified>
</cp:coreProperties>
</file>